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jc w:val="center"/>
        <w:tblCellMar>
          <w:left w:w="10" w:type="dxa"/>
          <w:right w:w="10" w:type="dxa"/>
        </w:tblCellMar>
        <w:tblLook w:val="04A0" w:firstRow="1" w:lastRow="0" w:firstColumn="1" w:lastColumn="0" w:noHBand="0" w:noVBand="1"/>
      </w:tblPr>
      <w:tblGrid>
        <w:gridCol w:w="1560"/>
        <w:gridCol w:w="3260"/>
        <w:gridCol w:w="2126"/>
        <w:gridCol w:w="4394"/>
      </w:tblGrid>
      <w:tr w:rsidR="0059311B" w:rsidRPr="00AF763C" w14:paraId="709085F4" w14:textId="77777777" w:rsidTr="002C7A30">
        <w:trPr>
          <w:trHeight w:val="892"/>
          <w:jc w:val="center"/>
        </w:trPr>
        <w:tc>
          <w:tcPr>
            <w:tcW w:w="1560" w:type="dxa"/>
            <w:shd w:val="clear" w:color="auto" w:fill="122B1E"/>
            <w:tcMar>
              <w:top w:w="80" w:type="dxa"/>
              <w:left w:w="80" w:type="dxa"/>
              <w:bottom w:w="80" w:type="dxa"/>
              <w:right w:w="80" w:type="dxa"/>
            </w:tcMar>
            <w:vAlign w:val="center"/>
          </w:tcPr>
          <w:p w14:paraId="71F282AE" w14:textId="77777777" w:rsidR="0059311B" w:rsidRPr="00AF763C" w:rsidRDefault="00911CBF" w:rsidP="001A400A">
            <w:pPr>
              <w:bidi w:val="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5D45FFD" wp14:editId="16B01BBD">
                  <wp:extent cx="792480" cy="1028700"/>
                  <wp:effectExtent l="0" t="0" r="762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792480" cy="1028700"/>
                          </a:xfrm>
                          <a:prstGeom prst="rect">
                            <a:avLst/>
                          </a:prstGeom>
                        </pic:spPr>
                      </pic:pic>
                    </a:graphicData>
                  </a:graphic>
                </wp:inline>
              </w:drawing>
            </w:r>
          </w:p>
        </w:tc>
        <w:tc>
          <w:tcPr>
            <w:tcW w:w="3260" w:type="dxa"/>
            <w:shd w:val="clear" w:color="auto" w:fill="122B1E"/>
            <w:tcMar>
              <w:top w:w="80" w:type="dxa"/>
              <w:left w:w="140" w:type="dxa"/>
              <w:bottom w:w="80" w:type="dxa"/>
              <w:right w:w="100" w:type="dxa"/>
            </w:tcMar>
            <w:vAlign w:val="center"/>
          </w:tcPr>
          <w:p w14:paraId="7F8C331C" w14:textId="77777777" w:rsidR="0059311B" w:rsidRPr="00AF763C" w:rsidRDefault="00911CBF" w:rsidP="001A400A">
            <w:pPr>
              <w:bidi w:val="0"/>
              <w:jc w:val="center"/>
              <w:rPr>
                <w:rFonts w:asciiTheme="majorBidi" w:hAnsiTheme="majorBidi" w:cstheme="majorBidi"/>
                <w:sz w:val="24"/>
                <w:szCs w:val="24"/>
              </w:rPr>
            </w:pPr>
            <w:r>
              <w:rPr>
                <w:rFonts w:asciiTheme="majorBidi" w:eastAsia="Georgia" w:hAnsiTheme="majorBidi" w:cstheme="majorBidi"/>
                <w:b/>
                <w:bCs/>
                <w:color w:val="FFFFFF"/>
                <w:sz w:val="24"/>
                <w:szCs w:val="24"/>
              </w:rPr>
              <w:t>Al-Malwiya Journal of Sport and Movement Sciences</w:t>
            </w:r>
          </w:p>
          <w:p w14:paraId="4091BA93" w14:textId="77777777" w:rsidR="0059311B" w:rsidRPr="00AF763C" w:rsidRDefault="00911CBF" w:rsidP="001A400A">
            <w:pPr>
              <w:bidi w:val="0"/>
              <w:spacing w:before="40"/>
              <w:jc w:val="center"/>
              <w:rPr>
                <w:rFonts w:asciiTheme="majorBidi" w:hAnsiTheme="majorBidi" w:cstheme="majorBidi"/>
                <w:sz w:val="24"/>
                <w:szCs w:val="24"/>
              </w:rPr>
            </w:pPr>
            <w:r>
              <w:rPr>
                <w:rFonts w:asciiTheme="majorBidi" w:hAnsiTheme="majorBidi" w:cstheme="majorBidi"/>
                <w:i/>
                <w:iCs/>
                <w:color w:val="E8B84B"/>
                <w:sz w:val="24"/>
                <w:szCs w:val="24"/>
              </w:rPr>
              <w:t>Open Access  ·  Peer Reviewed  ·  Double-Blind Review  ·  Iraq</w:t>
            </w:r>
          </w:p>
          <w:p w14:paraId="31AF678E" w14:textId="77777777" w:rsidR="0059311B" w:rsidRPr="00AF763C" w:rsidRDefault="00911CBF" w:rsidP="001A400A">
            <w:pPr>
              <w:bidi w:val="0"/>
              <w:spacing w:before="30"/>
              <w:jc w:val="center"/>
              <w:rPr>
                <w:rFonts w:asciiTheme="majorBidi" w:hAnsiTheme="majorBidi" w:cstheme="majorBidi"/>
                <w:sz w:val="24"/>
                <w:szCs w:val="24"/>
              </w:rPr>
            </w:pPr>
            <w:r>
              <w:rPr>
                <w:rFonts w:asciiTheme="majorBidi" w:hAnsiTheme="majorBidi" w:cstheme="majorBidi"/>
                <w:color w:val="AAAAAA"/>
                <w:sz w:val="24"/>
                <w:szCs w:val="24"/>
              </w:rPr>
              <w:t>amj-sms.com</w:t>
            </w:r>
          </w:p>
        </w:tc>
        <w:tc>
          <w:tcPr>
            <w:tcW w:w="2126" w:type="dxa"/>
            <w:shd w:val="clear" w:color="auto" w:fill="122B1E"/>
            <w:tcMar>
              <w:top w:w="80" w:type="dxa"/>
              <w:left w:w="160" w:type="dxa"/>
              <w:bottom w:w="80" w:type="dxa"/>
              <w:right w:w="80" w:type="dxa"/>
            </w:tcMar>
            <w:vAlign w:val="center"/>
          </w:tcPr>
          <w:p w14:paraId="3124775F" w14:textId="77777777" w:rsidR="0059311B" w:rsidRPr="00AF763C" w:rsidRDefault="00911CBF" w:rsidP="001A400A">
            <w:pPr>
              <w:bidi w:val="0"/>
              <w:jc w:val="center"/>
              <w:rPr>
                <w:rFonts w:asciiTheme="majorBidi" w:hAnsiTheme="majorBidi" w:cstheme="majorBidi"/>
                <w:sz w:val="24"/>
                <w:szCs w:val="24"/>
              </w:rPr>
            </w:pPr>
            <w:r>
              <w:rPr>
                <w:rFonts w:asciiTheme="majorBidi" w:hAnsiTheme="majorBidi" w:cstheme="majorBidi"/>
                <w:color w:val="E8B84B"/>
                <w:sz w:val="24"/>
                <w:szCs w:val="24"/>
              </w:rPr>
              <w:t>ISSN (Online)</w:t>
            </w:r>
          </w:p>
          <w:p w14:paraId="5F04479C" w14:textId="77777777" w:rsidR="0059311B" w:rsidRPr="00AF763C" w:rsidRDefault="00911CBF" w:rsidP="001A400A">
            <w:pPr>
              <w:bidi w:val="0"/>
              <w:jc w:val="center"/>
              <w:rPr>
                <w:rFonts w:asciiTheme="majorBidi" w:hAnsiTheme="majorBidi" w:cstheme="majorBidi"/>
                <w:sz w:val="24"/>
                <w:szCs w:val="24"/>
              </w:rPr>
            </w:pPr>
            <w:r>
              <w:rPr>
                <w:rFonts w:asciiTheme="majorBidi" w:eastAsia="Georgia" w:hAnsiTheme="majorBidi" w:cstheme="majorBidi"/>
                <w:b/>
                <w:bCs/>
                <w:color w:val="FFFFFF"/>
                <w:sz w:val="24"/>
                <w:szCs w:val="24"/>
              </w:rPr>
              <w:t>XXXX-XXXX</w:t>
            </w:r>
          </w:p>
          <w:p w14:paraId="423C0C2E" w14:textId="77777777" w:rsidR="0059311B" w:rsidRPr="00AF763C" w:rsidRDefault="00911CBF" w:rsidP="001A400A">
            <w:pPr>
              <w:bidi w:val="0"/>
              <w:spacing w:before="50"/>
              <w:jc w:val="center"/>
              <w:rPr>
                <w:rFonts w:asciiTheme="majorBidi" w:hAnsiTheme="majorBidi" w:cstheme="majorBidi"/>
                <w:sz w:val="24"/>
                <w:szCs w:val="24"/>
              </w:rPr>
            </w:pPr>
            <w:r>
              <w:rPr>
                <w:rFonts w:asciiTheme="majorBidi" w:hAnsiTheme="majorBidi" w:cstheme="majorBidi"/>
                <w:color w:val="E8B84B"/>
                <w:sz w:val="24"/>
                <w:szCs w:val="24"/>
              </w:rPr>
              <w:t>ISSN (Print)</w:t>
            </w:r>
          </w:p>
          <w:p w14:paraId="14AC18C1" w14:textId="77777777" w:rsidR="0059311B" w:rsidRPr="00AF763C" w:rsidRDefault="00911CBF" w:rsidP="001A400A">
            <w:pPr>
              <w:bidi w:val="0"/>
              <w:jc w:val="center"/>
              <w:rPr>
                <w:rFonts w:asciiTheme="majorBidi" w:hAnsiTheme="majorBidi" w:cstheme="majorBidi"/>
                <w:sz w:val="24"/>
                <w:szCs w:val="24"/>
              </w:rPr>
            </w:pPr>
            <w:r>
              <w:rPr>
                <w:rFonts w:asciiTheme="majorBidi" w:eastAsia="Georgia" w:hAnsiTheme="majorBidi" w:cstheme="majorBidi"/>
                <w:b/>
                <w:bCs/>
                <w:color w:val="FFFFFF"/>
                <w:sz w:val="24"/>
                <w:szCs w:val="24"/>
              </w:rPr>
              <w:t>XXXX-XXXX</w:t>
            </w:r>
          </w:p>
        </w:tc>
        <w:tc>
          <w:tcPr>
            <w:tcW w:w="4394" w:type="dxa"/>
            <w:shd w:val="clear" w:color="auto" w:fill="122B1E"/>
            <w:tcMar>
              <w:top w:w="80" w:type="dxa"/>
              <w:left w:w="120" w:type="dxa"/>
              <w:bottom w:w="80" w:type="dxa"/>
              <w:right w:w="60" w:type="dxa"/>
            </w:tcMar>
            <w:vAlign w:val="center"/>
          </w:tcPr>
          <w:p w14:paraId="293E6800" w14:textId="77777777" w:rsidR="0059311B" w:rsidRPr="00AF763C" w:rsidRDefault="00911CBF" w:rsidP="001A400A">
            <w:pPr>
              <w:bidi w:val="0"/>
              <w:jc w:val="center"/>
              <w:rPr>
                <w:rFonts w:asciiTheme="majorBidi" w:hAnsiTheme="majorBidi" w:cstheme="majorBidi"/>
                <w:sz w:val="24"/>
                <w:szCs w:val="24"/>
              </w:rPr>
            </w:pPr>
            <w:r>
              <w:rPr>
                <w:rFonts w:asciiTheme="majorBidi" w:hAnsiTheme="majorBidi" w:cstheme="majorBidi"/>
                <w:b/>
                <w:bCs/>
                <w:color w:val="E8B84B"/>
                <w:sz w:val="24"/>
                <w:szCs w:val="24"/>
              </w:rPr>
              <w:t>Al-Malwiya</w:t>
            </w:r>
          </w:p>
          <w:p w14:paraId="5A289134" w14:textId="77777777" w:rsidR="0059311B" w:rsidRDefault="00911CBF" w:rsidP="001A400A">
            <w:pPr>
              <w:bidi w:val="0"/>
              <w:jc w:val="center"/>
              <w:rPr>
                <w:rFonts w:asciiTheme="majorBidi" w:hAnsiTheme="majorBidi" w:cstheme="majorBidi"/>
                <w:sz w:val="24"/>
                <w:szCs w:val="24"/>
              </w:rPr>
            </w:pPr>
            <w:r>
              <w:rPr>
                <w:rFonts w:asciiTheme="majorBidi" w:hAnsiTheme="majorBidi" w:cstheme="majorBidi"/>
                <w:b/>
                <w:bCs/>
                <w:color w:val="E8B84B"/>
                <w:sz w:val="24"/>
                <w:szCs w:val="24"/>
              </w:rPr>
              <w:t>Academic Press</w:t>
            </w:r>
          </w:p>
          <w:p w14:paraId="3B259A43" w14:textId="02222047" w:rsidR="00BB464A" w:rsidRPr="00AF763C" w:rsidRDefault="00BB464A" w:rsidP="001A400A">
            <w:pPr>
              <w:bidi w:val="0"/>
              <w:jc w:val="center"/>
              <w:rPr>
                <w:rFonts w:asciiTheme="majorBidi" w:hAnsiTheme="majorBidi" w:cstheme="majorBidi"/>
                <w:sz w:val="24"/>
                <w:szCs w:val="24"/>
              </w:rPr>
            </w:pPr>
            <w:r>
              <w:rPr>
                <w:rFonts w:asciiTheme="majorBidi" w:hAnsiTheme="majorBidi" w:cstheme="majorBidi"/>
                <w:b/>
                <w:bCs/>
                <w:sz w:val="24"/>
                <w:szCs w:val="24"/>
              </w:rPr>
              <w:t>Al-Malwiya Academic Press</w:t>
            </w:r>
            <w:r>
              <w:rPr>
                <w:rFonts w:asciiTheme="majorBidi" w:hAnsiTheme="majorBidi" w:cstheme="majorBidi"/>
                <w:sz w:val="24"/>
                <w:szCs w:val="24"/>
              </w:rPr>
              <w:br/>
            </w:r>
            <w:r>
              <w:rPr>
                <w:rFonts w:asciiTheme="majorBidi" w:hAnsiTheme="majorBidi" w:cstheme="majorBidi"/>
                <w:i/>
                <w:iCs/>
                <w:sz w:val="24"/>
                <w:szCs w:val="24"/>
              </w:rPr>
              <w:t>Published by the College of Physical Education and Sports Sciences, University of Samarra</w:t>
            </w:r>
          </w:p>
          <w:p w14:paraId="6157637C" w14:textId="467F13B0" w:rsidR="0059311B" w:rsidRPr="00AF763C" w:rsidRDefault="00911CBF" w:rsidP="001A400A">
            <w:pPr>
              <w:bidi w:val="0"/>
              <w:spacing w:before="40"/>
              <w:jc w:val="center"/>
              <w:rPr>
                <w:rFonts w:asciiTheme="majorBidi" w:hAnsiTheme="majorBidi" w:cstheme="majorBidi"/>
                <w:sz w:val="24"/>
                <w:szCs w:val="24"/>
              </w:rPr>
            </w:pPr>
            <w:r>
              <w:rPr>
                <w:rFonts w:asciiTheme="majorBidi" w:hAnsiTheme="majorBidi" w:cstheme="majorBidi"/>
                <w:color w:val="AAAAAA"/>
                <w:sz w:val="24"/>
                <w:szCs w:val="24"/>
              </w:rPr>
              <w:t>Iraq · Est. 2026</w:t>
            </w:r>
          </w:p>
        </w:tc>
      </w:tr>
      <w:tr w:rsidR="008954B4" w:rsidRPr="00AF763C" w14:paraId="51D7A53E" w14:textId="77777777" w:rsidTr="004847DB">
        <w:trPr>
          <w:trHeight w:val="185"/>
          <w:jc w:val="center"/>
        </w:trPr>
        <w:tc>
          <w:tcPr>
            <w:tcW w:w="11340" w:type="dxa"/>
            <w:gridSpan w:val="4"/>
            <w:shd w:val="clear" w:color="auto" w:fill="122B1E"/>
            <w:tcMar>
              <w:top w:w="80" w:type="dxa"/>
              <w:left w:w="80" w:type="dxa"/>
              <w:bottom w:w="80" w:type="dxa"/>
              <w:right w:w="80" w:type="dxa"/>
            </w:tcMar>
            <w:vAlign w:val="center"/>
          </w:tcPr>
          <w:p w14:paraId="058DA8C2" w14:textId="77777777" w:rsidR="004847DB" w:rsidRPr="00CB05F2" w:rsidRDefault="004847DB" w:rsidP="004847DB">
            <w:pPr>
              <w:shd w:val="clear" w:color="auto" w:fill="F5F0E8"/>
              <w:bidi w:val="0"/>
              <w:spacing w:before="60" w:after="60"/>
              <w:jc w:val="center"/>
              <w:rPr>
                <w:rFonts w:ascii="Sylfaen" w:hAnsi="Sylfaen" w:cstheme="majorBidi"/>
                <w:color w:val="122B1E"/>
              </w:rPr>
            </w:pPr>
            <w:r>
              <w:rPr>
                <w:rFonts w:ascii="Sylfaen" w:hAnsi="Sylfaen" w:cstheme="majorBidi"/>
                <w:color w:val="777777"/>
              </w:rPr>
              <w:t xml:space="preserve">Al-Malwiya J. Sport Mov. Sci.  </w:t>
            </w:r>
            <w:r>
              <w:rPr>
                <w:rFonts w:ascii="Sylfaen" w:hAnsi="Sylfaen" w:cstheme="majorBidi"/>
                <w:color w:val="122B1E"/>
              </w:rPr>
              <w:t>Vol. [1], No. [1] (2026) [pp–pp]</w:t>
            </w:r>
            <w:r>
              <w:rPr>
                <w:rFonts w:ascii="Sylfaen" w:hAnsi="Sylfaen" w:cstheme="majorBidi"/>
                <w:color w:val="777777"/>
              </w:rPr>
              <w:t xml:space="preserve">       </w:t>
            </w:r>
            <w:hyperlink r:id="rId8" w:history="1">
              <w:r>
                <w:rPr>
                  <w:rStyle w:val="Hyperlink"/>
                  <w:rFonts w:ascii="Sylfaen" w:hAnsi="Sylfaen" w:cstheme="majorBidi"/>
                </w:rPr>
                <w:t>https://doi.org/10.XXXXX/amjsms.20XX.XXXXX</w:t>
              </w:r>
            </w:hyperlink>
          </w:p>
          <w:p w14:paraId="412C0C10" w14:textId="268FBE12" w:rsidR="008954B4" w:rsidRPr="00D92C68" w:rsidRDefault="004847DB" w:rsidP="004847DB">
            <w:pPr>
              <w:shd w:val="clear" w:color="auto" w:fill="C9952A"/>
              <w:bidi w:val="0"/>
              <w:spacing w:line="276" w:lineRule="auto"/>
              <w:jc w:val="center"/>
              <w:rPr>
                <w:rFonts w:asciiTheme="majorBidi" w:hAnsiTheme="majorBidi" w:cstheme="majorBidi"/>
              </w:rPr>
            </w:pPr>
            <w:hyperlink r:id="rId9" w:history="1">
              <w:r>
                <w:rPr>
                  <w:rStyle w:val="Hyperlink"/>
                  <w:rFonts w:ascii="Sylfaen" w:hAnsi="Sylfaen" w:cstheme="majorBidi"/>
                </w:rPr>
                <w:t>Al-Malwiya Journal of Sport and Movement Sciences</w:t>
              </w:r>
            </w:hyperlink>
          </w:p>
        </w:tc>
      </w:tr>
    </w:tbl>
    <w:p w14:paraId="11F49482" w14:textId="3F1A461D" w:rsidR="00B04567" w:rsidRPr="00CB05F2" w:rsidRDefault="00911CBF" w:rsidP="00CB05F2">
      <w:pPr>
        <w:bidi w:val="0"/>
        <w:spacing w:before="220" w:after="80" w:line="276" w:lineRule="auto"/>
        <w:rPr>
          <w:rFonts w:asciiTheme="majorBidi" w:hAnsiTheme="majorBidi" w:cstheme="majorBidi"/>
        </w:rPr>
      </w:pPr>
      <w:r>
        <w:rPr>
          <w:rFonts w:asciiTheme="majorBidi" w:hAnsiTheme="majorBidi" w:cstheme="majorBidi"/>
          <w:b/>
          <w:bCs/>
          <w:color w:val="122B1E"/>
          <w:sz w:val="16"/>
          <w:szCs w:val="16"/>
          <w:u w:val="single" w:color="C9952A"/>
        </w:rPr>
        <w:t>FULL LENGTH ARTICLE</w:t>
      </w:r>
    </w:p>
    <w:p w14:paraId="6715555B" w14:textId="212B3748" w:rsidR="003C3CB0" w:rsidRDefault="003C3CB0" w:rsidP="00B04567">
      <w:pPr>
        <w:bidi w:val="0"/>
        <w:spacing w:before="60" w:after="40" w:line="276" w:lineRule="auto"/>
        <w:jc w:val="center"/>
        <w:rPr>
          <w:rFonts w:asciiTheme="majorBidi" w:hAnsiTheme="majorBidi" w:cstheme="majorBidi"/>
          <w:color w:val="122B1E"/>
        </w:rPr>
      </w:pPr>
      <w:r>
        <w:rPr>
          <w:rFonts w:asciiTheme="majorBidi" w:eastAsia="Georgia" w:hAnsiTheme="majorBidi" w:cstheme="majorBidi"/>
          <w:b/>
          <w:bCs/>
          <w:i/>
          <w:iCs/>
          <w:color w:val="777777"/>
          <w:sz w:val="30"/>
          <w:szCs w:val="30"/>
        </w:rPr>
        <w:t>[</w:t>
      </w:r>
      <w:r w:rsidRPr="006C7BEF">
        <w:rPr>
          <w:rFonts w:asciiTheme="majorBidi" w:eastAsia="Georgia" w:hAnsiTheme="majorBidi" w:cstheme="majorBidi"/>
          <w:b/>
          <w:bCs/>
          <w:i/>
          <w:iCs/>
          <w:color w:val="777777"/>
          <w:sz w:val="30"/>
          <w:szCs w:val="30"/>
        </w:rPr>
        <w:t>Title of the Article: Replace this text with your manuscript title — concise and informative, reflecting the content of the study</w:t>
      </w:r>
      <w:r>
        <w:rPr>
          <w:rFonts w:asciiTheme="majorBidi" w:eastAsia="Georgia" w:hAnsiTheme="majorBidi" w:cstheme="majorBidi"/>
          <w:b/>
          <w:bCs/>
          <w:i/>
          <w:iCs/>
          <w:color w:val="777777"/>
          <w:sz w:val="30"/>
          <w:szCs w:val="30"/>
        </w:rPr>
        <w:t>]</w:t>
      </w:r>
    </w:p>
    <w:p w14:paraId="768F887B" w14:textId="631CE8A1" w:rsidR="0059311B" w:rsidRPr="00A2505F" w:rsidRDefault="00911CBF" w:rsidP="009159EF">
      <w:pPr>
        <w:bidi w:val="0"/>
        <w:spacing w:before="60" w:after="40" w:line="360" w:lineRule="auto"/>
        <w:rPr>
          <w:rFonts w:asciiTheme="majorBidi" w:hAnsiTheme="majorBidi" w:cstheme="majorBidi"/>
          <w:sz w:val="22"/>
          <w:szCs w:val="22"/>
        </w:rPr>
      </w:pPr>
      <w:r>
        <w:rPr>
          <w:rFonts w:asciiTheme="majorBidi" w:hAnsiTheme="majorBidi" w:cstheme="majorBidi"/>
          <w:color w:val="122B1E"/>
          <w:sz w:val="22"/>
          <w:szCs w:val="22"/>
        </w:rPr>
        <w:t>Ahmed K. Al-Rashidi</w:t>
      </w:r>
      <w:r>
        <w:rPr>
          <w:rFonts w:asciiTheme="majorBidi" w:hAnsiTheme="majorBidi" w:cstheme="majorBidi"/>
          <w:color w:val="122B1E"/>
          <w:sz w:val="22"/>
          <w:szCs w:val="22"/>
          <w:vertAlign w:val="superscript"/>
        </w:rPr>
        <w:t xml:space="preserve"> a</w:t>
      </w:r>
      <w:r>
        <w:rPr>
          <w:rFonts w:asciiTheme="majorBidi" w:hAnsiTheme="majorBidi" w:cstheme="majorBidi"/>
          <w:color w:val="122B1E"/>
          <w:sz w:val="22"/>
          <w:szCs w:val="22"/>
        </w:rPr>
        <w:t>,  Omar F. Hassan</w:t>
      </w:r>
      <w:r>
        <w:rPr>
          <w:rFonts w:asciiTheme="majorBidi" w:hAnsiTheme="majorBidi" w:cstheme="majorBidi"/>
          <w:color w:val="122B1E"/>
          <w:sz w:val="22"/>
          <w:szCs w:val="22"/>
          <w:vertAlign w:val="superscript"/>
        </w:rPr>
        <w:t xml:space="preserve"> b</w:t>
      </w:r>
      <w:r>
        <w:rPr>
          <w:rFonts w:asciiTheme="majorBidi" w:hAnsiTheme="majorBidi" w:cstheme="majorBidi"/>
          <w:color w:val="122B1E"/>
          <w:sz w:val="22"/>
          <w:szCs w:val="22"/>
        </w:rPr>
        <w:t>,  Sana M. Ibrahim</w:t>
      </w:r>
      <w:r>
        <w:rPr>
          <w:rFonts w:asciiTheme="majorBidi" w:hAnsiTheme="majorBidi" w:cstheme="majorBidi"/>
          <w:color w:val="122B1E"/>
          <w:sz w:val="22"/>
          <w:szCs w:val="22"/>
          <w:vertAlign w:val="superscript"/>
        </w:rPr>
        <w:t xml:space="preserve"> a,*</w:t>
      </w:r>
    </w:p>
    <w:p w14:paraId="7B73D48F" w14:textId="4FAEF85C" w:rsidR="0059311B" w:rsidRPr="009159EF" w:rsidRDefault="00911CBF" w:rsidP="009159EF">
      <w:pPr>
        <w:bidi w:val="0"/>
        <w:spacing w:before="30" w:after="60" w:line="360" w:lineRule="auto"/>
        <w:jc w:val="center"/>
        <w:rPr>
          <w:rFonts w:asciiTheme="majorBidi" w:hAnsiTheme="majorBidi" w:cstheme="majorBidi"/>
          <w:sz w:val="22"/>
          <w:szCs w:val="22"/>
          <w:lang w:bidi="ar-IQ"/>
        </w:rPr>
      </w:pPr>
      <w:r>
        <w:rPr>
          <w:rFonts w:asciiTheme="majorBidi" w:hAnsiTheme="majorBidi" w:cstheme="majorBidi"/>
          <w:sz w:val="18"/>
          <w:szCs w:val="18"/>
          <w:vertAlign w:val="superscript"/>
        </w:rPr>
        <w:t xml:space="preserve">a </w:t>
      </w:r>
      <w:r>
        <w:rPr>
          <w:rFonts w:asciiTheme="majorBidi" w:hAnsiTheme="majorBidi" w:cstheme="majorBidi"/>
          <w:i/>
          <w:iCs/>
          <w:sz w:val="18"/>
          <w:szCs w:val="18"/>
        </w:rPr>
        <w:t xml:space="preserve">College of Physical Education and Sports Sciences, University of Samarra, Iraq   |  </w:t>
      </w:r>
      <w:r>
        <w:rPr>
          <w:rFonts w:asciiTheme="majorBidi" w:hAnsiTheme="majorBidi" w:cstheme="majorBidi"/>
          <w:i/>
          <w:iCs/>
          <w:sz w:val="18"/>
          <w:szCs w:val="18"/>
          <w:vertAlign w:val="superscript"/>
        </w:rPr>
        <w:t xml:space="preserve"> </w:t>
      </w:r>
      <w:r>
        <w:rPr>
          <w:rFonts w:asciiTheme="majorBidi" w:hAnsiTheme="majorBidi" w:cstheme="majorBidi"/>
          <w:sz w:val="18"/>
          <w:szCs w:val="18"/>
          <w:vertAlign w:val="superscript"/>
        </w:rPr>
        <w:t xml:space="preserve">b </w:t>
      </w:r>
      <w:r>
        <w:rPr>
          <w:rFonts w:asciiTheme="majorBidi" w:hAnsiTheme="majorBidi" w:cstheme="majorBidi"/>
          <w:i/>
          <w:iCs/>
          <w:sz w:val="18"/>
          <w:szCs w:val="18"/>
        </w:rPr>
        <w:t>College of Physical Education and Sports Sciences</w:t>
      </w:r>
      <w:r>
        <w:rPr>
          <w:rFonts w:asciiTheme="majorBidi" w:hAnsiTheme="majorBidi" w:cstheme="majorBidi"/>
          <w:sz w:val="22"/>
          <w:szCs w:val="22"/>
        </w:rPr>
        <w:t xml:space="preserve"> </w:t>
      </w:r>
      <w:r>
        <w:rPr>
          <w:rFonts w:asciiTheme="majorBidi" w:hAnsiTheme="majorBidi" w:cstheme="majorBidi"/>
          <w:i/>
          <w:iCs/>
          <w:sz w:val="18"/>
          <w:szCs w:val="18"/>
        </w:rPr>
        <w:t xml:space="preserve">, University of Baghdad, Iraq |  </w:t>
      </w:r>
      <w:r>
        <w:rPr>
          <w:rFonts w:asciiTheme="majorBidi" w:hAnsiTheme="majorBidi" w:cstheme="majorBidi"/>
          <w:sz w:val="18"/>
          <w:szCs w:val="18"/>
          <w:vertAlign w:val="superscript"/>
        </w:rPr>
        <w:t>C</w:t>
      </w:r>
      <w:r>
        <w:rPr>
          <w:rFonts w:asciiTheme="majorBidi" w:hAnsiTheme="majorBidi" w:cstheme="majorBidi"/>
          <w:sz w:val="22"/>
          <w:szCs w:val="22"/>
          <w:lang w:bidi="ar-IQ"/>
        </w:rPr>
        <w:t xml:space="preserve"> </w:t>
      </w:r>
      <w:r>
        <w:rPr>
          <w:rFonts w:asciiTheme="majorBidi" w:hAnsiTheme="majorBidi" w:cstheme="majorBidi"/>
          <w:i/>
          <w:iCs/>
          <w:sz w:val="18"/>
          <w:szCs w:val="18"/>
        </w:rPr>
        <w:t>College of Physical Education and Sports Sciences</w:t>
      </w:r>
      <w:r>
        <w:rPr>
          <w:rFonts w:asciiTheme="majorBidi" w:hAnsiTheme="majorBidi" w:cstheme="majorBidi"/>
          <w:sz w:val="22"/>
          <w:szCs w:val="22"/>
        </w:rPr>
        <w:t xml:space="preserve"> </w:t>
      </w:r>
      <w:r>
        <w:rPr>
          <w:rFonts w:asciiTheme="majorBidi" w:hAnsiTheme="majorBidi" w:cstheme="majorBidi"/>
          <w:i/>
          <w:iCs/>
          <w:sz w:val="18"/>
          <w:szCs w:val="18"/>
        </w:rPr>
        <w:t>, University of Kirkuk, Iraq</w:t>
      </w:r>
    </w:p>
    <w:p w14:paraId="6B687227" w14:textId="0D8596F2" w:rsidR="005108A2" w:rsidRPr="00F15001" w:rsidRDefault="00911CBF" w:rsidP="009159EF">
      <w:pPr>
        <w:bidi w:val="0"/>
        <w:spacing w:after="160" w:line="360" w:lineRule="auto"/>
        <w:rPr>
          <w:rFonts w:asciiTheme="majorBidi" w:hAnsiTheme="majorBidi" w:cstheme="majorBidi"/>
        </w:rPr>
      </w:pPr>
      <w:r>
        <w:rPr>
          <w:rFonts w:asciiTheme="majorBidi" w:hAnsiTheme="majorBidi" w:cstheme="majorBidi"/>
          <w:b/>
          <w:bCs/>
          <w:color w:val="777777"/>
          <w:sz w:val="16"/>
          <w:szCs w:val="16"/>
        </w:rPr>
        <w:t xml:space="preserve">*Corresponding author: </w:t>
      </w:r>
      <w:hyperlink r:id="rId10" w:history="1">
        <w:r>
          <w:rPr>
            <w:rStyle w:val="Hyperlink"/>
            <w:rFonts w:asciiTheme="majorBidi" w:hAnsiTheme="majorBidi" w:cstheme="majorBidi"/>
            <w:sz w:val="16"/>
            <w:szCs w:val="16"/>
          </w:rPr>
          <w:t>s.ibrahim@uobaghdad.edu.iq</w:t>
        </w:r>
      </w:hyperlink>
      <w:r>
        <w:rPr>
          <w:rFonts w:asciiTheme="majorBidi" w:hAnsiTheme="majorBidi" w:cstheme="majorBidi"/>
          <w:color w:val="122B1E"/>
          <w:sz w:val="16"/>
          <w:szCs w:val="16"/>
        </w:rPr>
        <w:t xml:space="preserve"> </w:t>
      </w:r>
    </w:p>
    <w:tbl>
      <w:tblPr>
        <w:tblW w:w="9360" w:type="dxa"/>
        <w:tblBorders>
          <w:top w:val="single" w:sz="8" w:space="0" w:color="C9952A"/>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6840"/>
      </w:tblGrid>
      <w:tr w:rsidR="0059311B" w:rsidRPr="00F15001" w14:paraId="63CBBDB4" w14:textId="77777777" w:rsidTr="00C648D9">
        <w:trPr>
          <w:trHeight w:val="8372"/>
        </w:trPr>
        <w:tc>
          <w:tcPr>
            <w:tcW w:w="2520" w:type="dxa"/>
            <w:tcBorders>
              <w:top w:val="none" w:sz="0" w:space="0" w:color="FFFFFF"/>
              <w:left w:val="none" w:sz="0" w:space="0" w:color="FFFFFF"/>
              <w:bottom w:val="none" w:sz="0" w:space="0" w:color="FFFFFF"/>
              <w:right w:val="single" w:sz="4" w:space="0" w:color="CCCCCC"/>
            </w:tcBorders>
            <w:tcMar>
              <w:top w:w="120" w:type="dxa"/>
              <w:left w:w="0" w:type="dxa"/>
              <w:bottom w:w="120" w:type="dxa"/>
              <w:right w:w="180" w:type="dxa"/>
            </w:tcMar>
          </w:tcPr>
          <w:p w14:paraId="1A2FEF9F" w14:textId="77777777" w:rsidR="0059311B" w:rsidRPr="00F15001" w:rsidRDefault="00911CBF" w:rsidP="006B234C">
            <w:pPr>
              <w:bidi w:val="0"/>
              <w:spacing w:before="120" w:after="60" w:line="276" w:lineRule="auto"/>
              <w:rPr>
                <w:rFonts w:asciiTheme="majorBidi" w:hAnsiTheme="majorBidi" w:cstheme="majorBidi"/>
              </w:rPr>
            </w:pPr>
            <w:r>
              <w:rPr>
                <w:rFonts w:asciiTheme="majorBidi" w:hAnsiTheme="majorBidi" w:cstheme="majorBidi"/>
                <w:b/>
                <w:bCs/>
                <w:color w:val="999999"/>
                <w:sz w:val="14"/>
                <w:szCs w:val="14"/>
              </w:rPr>
              <w:t>ARTICLE HISTORY</w:t>
            </w:r>
          </w:p>
          <w:p w14:paraId="3C086879" w14:textId="77777777" w:rsidR="0059311B" w:rsidRPr="00F15001" w:rsidRDefault="00911CBF" w:rsidP="006B234C">
            <w:pPr>
              <w:bidi w:val="0"/>
              <w:spacing w:before="30" w:after="20" w:line="276" w:lineRule="auto"/>
              <w:rPr>
                <w:rFonts w:asciiTheme="majorBidi" w:hAnsiTheme="majorBidi" w:cstheme="majorBidi"/>
              </w:rPr>
            </w:pPr>
            <w:r>
              <w:rPr>
                <w:rFonts w:asciiTheme="majorBidi" w:hAnsiTheme="majorBidi" w:cstheme="majorBidi"/>
                <w:color w:val="3A3A3A"/>
                <w:sz w:val="17"/>
                <w:szCs w:val="17"/>
              </w:rPr>
              <w:t>Received         12 January 2026</w:t>
            </w:r>
          </w:p>
          <w:p w14:paraId="299CCF43" w14:textId="77777777" w:rsidR="0059311B" w:rsidRPr="00F15001" w:rsidRDefault="00911CBF" w:rsidP="006B234C">
            <w:pPr>
              <w:bidi w:val="0"/>
              <w:spacing w:before="20" w:after="20" w:line="276" w:lineRule="auto"/>
              <w:rPr>
                <w:rFonts w:asciiTheme="majorBidi" w:hAnsiTheme="majorBidi" w:cstheme="majorBidi"/>
              </w:rPr>
            </w:pPr>
            <w:r>
              <w:rPr>
                <w:rFonts w:asciiTheme="majorBidi" w:hAnsiTheme="majorBidi" w:cstheme="majorBidi"/>
                <w:color w:val="3A3A3A"/>
                <w:sz w:val="17"/>
                <w:szCs w:val="17"/>
              </w:rPr>
              <w:t>Revised           05 February 2026</w:t>
            </w:r>
          </w:p>
          <w:p w14:paraId="7FC806FE" w14:textId="4DF8C6D8" w:rsidR="0059311B" w:rsidRPr="00F15001" w:rsidRDefault="00911CBF" w:rsidP="006B234C">
            <w:pPr>
              <w:bidi w:val="0"/>
              <w:spacing w:before="20" w:after="20" w:line="276" w:lineRule="auto"/>
              <w:rPr>
                <w:rFonts w:asciiTheme="majorBidi" w:hAnsiTheme="majorBidi" w:cstheme="majorBidi"/>
              </w:rPr>
            </w:pPr>
            <w:r>
              <w:rPr>
                <w:rFonts w:asciiTheme="majorBidi" w:hAnsiTheme="majorBidi" w:cstheme="majorBidi"/>
                <w:color w:val="3A3A3A"/>
                <w:sz w:val="17"/>
                <w:szCs w:val="17"/>
              </w:rPr>
              <w:t>Accepted         18 February 2026</w:t>
            </w:r>
          </w:p>
          <w:p w14:paraId="37C12D51" w14:textId="56BA8E7A" w:rsidR="0059311B" w:rsidRPr="00F15001" w:rsidRDefault="00911CBF" w:rsidP="006B234C">
            <w:pPr>
              <w:bidi w:val="0"/>
              <w:spacing w:before="20" w:after="100" w:line="276" w:lineRule="auto"/>
              <w:rPr>
                <w:rFonts w:asciiTheme="majorBidi" w:hAnsiTheme="majorBidi" w:cstheme="majorBidi"/>
              </w:rPr>
            </w:pPr>
            <w:r>
              <w:rPr>
                <w:rFonts w:asciiTheme="majorBidi" w:hAnsiTheme="majorBidi" w:cstheme="majorBidi"/>
                <w:color w:val="3A3A3A"/>
                <w:sz w:val="17"/>
                <w:szCs w:val="17"/>
              </w:rPr>
              <w:t>Online             01 March 2026</w:t>
            </w:r>
          </w:p>
          <w:p w14:paraId="08F45D9D" w14:textId="77777777" w:rsidR="0059311B" w:rsidRPr="00F15001" w:rsidRDefault="0059311B" w:rsidP="006B234C">
            <w:pPr>
              <w:pBdr>
                <w:bottom w:val="single" w:sz="4" w:space="1" w:color="C9952A"/>
              </w:pBdr>
              <w:bidi w:val="0"/>
              <w:spacing w:line="276" w:lineRule="auto"/>
              <w:rPr>
                <w:rFonts w:asciiTheme="majorBidi" w:hAnsiTheme="majorBidi" w:cstheme="majorBidi"/>
              </w:rPr>
            </w:pPr>
          </w:p>
          <w:p w14:paraId="21B7F3B4" w14:textId="77777777" w:rsidR="0059311B" w:rsidRPr="00F15001" w:rsidRDefault="00911CBF" w:rsidP="006B234C">
            <w:pPr>
              <w:bidi w:val="0"/>
              <w:spacing w:before="100" w:after="40" w:line="276" w:lineRule="auto"/>
              <w:rPr>
                <w:rFonts w:asciiTheme="majorBidi" w:hAnsiTheme="majorBidi" w:cstheme="majorBidi"/>
              </w:rPr>
            </w:pPr>
            <w:r>
              <w:rPr>
                <w:rFonts w:asciiTheme="majorBidi" w:hAnsiTheme="majorBidi" w:cstheme="majorBidi"/>
                <w:b/>
                <w:bCs/>
                <w:color w:val="999999"/>
                <w:sz w:val="14"/>
                <w:szCs w:val="14"/>
              </w:rPr>
              <w:t>KEYWORDS</w:t>
            </w:r>
          </w:p>
          <w:p w14:paraId="290D058D" w14:textId="77777777" w:rsidR="0059311B" w:rsidRPr="00F15001" w:rsidRDefault="00911CBF" w:rsidP="006B234C">
            <w:pPr>
              <w:bidi w:val="0"/>
              <w:spacing w:before="20" w:after="6" w:line="276" w:lineRule="auto"/>
              <w:rPr>
                <w:rFonts w:asciiTheme="majorBidi" w:hAnsiTheme="majorBidi" w:cstheme="majorBidi"/>
              </w:rPr>
            </w:pPr>
            <w:r>
              <w:rPr>
                <w:rFonts w:asciiTheme="majorBidi" w:hAnsiTheme="majorBidi" w:cstheme="majorBidi"/>
                <w:i/>
                <w:iCs/>
                <w:color w:val="777777"/>
                <w:sz w:val="15"/>
                <w:szCs w:val="15"/>
              </w:rPr>
              <w:t>3–6 keywords required</w:t>
            </w:r>
          </w:p>
          <w:p w14:paraId="739ABECC" w14:textId="77777777" w:rsidR="0059311B" w:rsidRPr="00F15001" w:rsidRDefault="00911CBF" w:rsidP="006B234C">
            <w:pPr>
              <w:shd w:val="clear" w:color="auto" w:fill="EBF0EB"/>
              <w:bidi w:val="0"/>
              <w:spacing w:before="18" w:after="18" w:line="276" w:lineRule="auto"/>
              <w:rPr>
                <w:rFonts w:asciiTheme="majorBidi" w:hAnsiTheme="majorBidi" w:cstheme="majorBidi"/>
              </w:rPr>
            </w:pPr>
            <w:r>
              <w:rPr>
                <w:rFonts w:asciiTheme="majorBidi" w:hAnsiTheme="majorBidi" w:cstheme="majorBidi"/>
                <w:color w:val="122B1E"/>
                <w:sz w:val="17"/>
                <w:szCs w:val="17"/>
              </w:rPr>
              <w:t xml:space="preserve">  Agility</w:t>
            </w:r>
          </w:p>
          <w:p w14:paraId="12968A61" w14:textId="77777777" w:rsidR="0059311B" w:rsidRPr="00F15001" w:rsidRDefault="00911CBF" w:rsidP="006B234C">
            <w:pPr>
              <w:shd w:val="clear" w:color="auto" w:fill="EBF0EB"/>
              <w:bidi w:val="0"/>
              <w:spacing w:before="18" w:after="18" w:line="276" w:lineRule="auto"/>
              <w:rPr>
                <w:rFonts w:asciiTheme="majorBidi" w:hAnsiTheme="majorBidi" w:cstheme="majorBidi"/>
              </w:rPr>
            </w:pPr>
            <w:r>
              <w:rPr>
                <w:rFonts w:asciiTheme="majorBidi" w:hAnsiTheme="majorBidi" w:cstheme="majorBidi"/>
                <w:color w:val="122B1E"/>
                <w:sz w:val="17"/>
                <w:szCs w:val="17"/>
              </w:rPr>
              <w:t xml:space="preserve">  Athletic Performance</w:t>
            </w:r>
          </w:p>
          <w:p w14:paraId="34475EDD" w14:textId="77777777" w:rsidR="0059311B" w:rsidRPr="00F15001" w:rsidRDefault="00911CBF" w:rsidP="006B234C">
            <w:pPr>
              <w:shd w:val="clear" w:color="auto" w:fill="EBF0EB"/>
              <w:bidi w:val="0"/>
              <w:spacing w:before="18" w:after="18" w:line="276" w:lineRule="auto"/>
              <w:rPr>
                <w:rFonts w:asciiTheme="majorBidi" w:hAnsiTheme="majorBidi" w:cstheme="majorBidi"/>
              </w:rPr>
            </w:pPr>
            <w:r>
              <w:rPr>
                <w:rFonts w:asciiTheme="majorBidi" w:hAnsiTheme="majorBidi" w:cstheme="majorBidi"/>
                <w:color w:val="122B1E"/>
                <w:sz w:val="17"/>
                <w:szCs w:val="17"/>
              </w:rPr>
              <w:t xml:space="preserve">  Explosive Power</w:t>
            </w:r>
          </w:p>
          <w:p w14:paraId="310F23E5" w14:textId="77777777" w:rsidR="0059311B" w:rsidRPr="00F15001" w:rsidRDefault="00911CBF" w:rsidP="006B234C">
            <w:pPr>
              <w:shd w:val="clear" w:color="auto" w:fill="EBF0EB"/>
              <w:bidi w:val="0"/>
              <w:spacing w:before="18" w:after="18" w:line="276" w:lineRule="auto"/>
              <w:rPr>
                <w:rFonts w:asciiTheme="majorBidi" w:hAnsiTheme="majorBidi" w:cstheme="majorBidi"/>
              </w:rPr>
            </w:pPr>
            <w:r>
              <w:rPr>
                <w:rFonts w:asciiTheme="majorBidi" w:hAnsiTheme="majorBidi" w:cstheme="majorBidi"/>
                <w:color w:val="122B1E"/>
                <w:sz w:val="17"/>
                <w:szCs w:val="17"/>
              </w:rPr>
              <w:t xml:space="preserve">  Plyometric Training</w:t>
            </w:r>
          </w:p>
          <w:p w14:paraId="2CE0D957" w14:textId="77777777" w:rsidR="0059311B" w:rsidRPr="00F15001" w:rsidRDefault="00911CBF" w:rsidP="006B234C">
            <w:pPr>
              <w:shd w:val="clear" w:color="auto" w:fill="EBF0EB"/>
              <w:bidi w:val="0"/>
              <w:spacing w:before="18" w:after="18" w:line="276" w:lineRule="auto"/>
              <w:rPr>
                <w:rFonts w:asciiTheme="majorBidi" w:hAnsiTheme="majorBidi" w:cstheme="majorBidi"/>
              </w:rPr>
            </w:pPr>
            <w:r>
              <w:rPr>
                <w:rFonts w:asciiTheme="majorBidi" w:hAnsiTheme="majorBidi" w:cstheme="majorBidi"/>
                <w:color w:val="122B1E"/>
                <w:sz w:val="17"/>
                <w:szCs w:val="17"/>
              </w:rPr>
              <w:t xml:space="preserve">  Youth Football</w:t>
            </w:r>
          </w:p>
          <w:p w14:paraId="48FEAD94" w14:textId="77777777" w:rsidR="0059311B" w:rsidRPr="00F15001" w:rsidRDefault="0059311B" w:rsidP="006B234C">
            <w:pPr>
              <w:pBdr>
                <w:bottom w:val="single" w:sz="4" w:space="1" w:color="C9952A"/>
              </w:pBdr>
              <w:bidi w:val="0"/>
              <w:spacing w:before="80" w:line="276" w:lineRule="auto"/>
              <w:rPr>
                <w:rFonts w:asciiTheme="majorBidi" w:hAnsiTheme="majorBidi" w:cstheme="majorBidi"/>
              </w:rPr>
            </w:pPr>
          </w:p>
          <w:p w14:paraId="6D55F1D6" w14:textId="77777777" w:rsidR="0059311B" w:rsidRPr="00F15001" w:rsidRDefault="00911CBF" w:rsidP="006B234C">
            <w:pPr>
              <w:bidi w:val="0"/>
              <w:spacing w:before="100" w:after="60" w:line="276" w:lineRule="auto"/>
              <w:rPr>
                <w:rFonts w:asciiTheme="majorBidi" w:hAnsiTheme="majorBidi" w:cstheme="majorBidi"/>
              </w:rPr>
            </w:pPr>
            <w:r>
              <w:rPr>
                <w:rFonts w:asciiTheme="majorBidi" w:hAnsiTheme="majorBidi" w:cstheme="majorBidi"/>
                <w:b/>
                <w:bCs/>
                <w:color w:val="999999"/>
                <w:sz w:val="14"/>
                <w:szCs w:val="14"/>
              </w:rPr>
              <w:t>SUBJECT AREA</w:t>
            </w:r>
          </w:p>
          <w:p w14:paraId="152B8E3D" w14:textId="77777777" w:rsidR="0059311B" w:rsidRPr="00F15001" w:rsidRDefault="00911CBF" w:rsidP="006B234C">
            <w:pPr>
              <w:bidi w:val="0"/>
              <w:spacing w:before="20" w:after="20" w:line="276" w:lineRule="auto"/>
              <w:rPr>
                <w:rFonts w:asciiTheme="majorBidi" w:hAnsiTheme="majorBidi" w:cstheme="majorBidi"/>
              </w:rPr>
            </w:pPr>
            <w:r>
              <w:rPr>
                <w:rFonts w:asciiTheme="majorBidi" w:hAnsiTheme="majorBidi" w:cstheme="majorBidi"/>
                <w:color w:val="3A3A3A"/>
                <w:sz w:val="17"/>
                <w:szCs w:val="17"/>
              </w:rPr>
              <w:t>Sport Sciences</w:t>
            </w:r>
          </w:p>
          <w:p w14:paraId="42FC786D" w14:textId="77777777" w:rsidR="0059311B" w:rsidRPr="00F15001" w:rsidRDefault="00911CBF" w:rsidP="006B234C">
            <w:pPr>
              <w:bidi w:val="0"/>
              <w:spacing w:before="20" w:after="20" w:line="276" w:lineRule="auto"/>
              <w:rPr>
                <w:rFonts w:asciiTheme="majorBidi" w:hAnsiTheme="majorBidi" w:cstheme="majorBidi"/>
              </w:rPr>
            </w:pPr>
            <w:r>
              <w:rPr>
                <w:rFonts w:asciiTheme="majorBidi" w:hAnsiTheme="majorBidi" w:cstheme="majorBidi"/>
                <w:color w:val="3A3A3A"/>
                <w:sz w:val="17"/>
                <w:szCs w:val="17"/>
              </w:rPr>
              <w:t>Physical Education</w:t>
            </w:r>
          </w:p>
          <w:p w14:paraId="7056317D" w14:textId="77777777" w:rsidR="0059311B" w:rsidRDefault="00911CBF" w:rsidP="006B234C">
            <w:pPr>
              <w:bidi w:val="0"/>
              <w:spacing w:before="20" w:line="276" w:lineRule="auto"/>
              <w:rPr>
                <w:rFonts w:asciiTheme="majorBidi" w:hAnsiTheme="majorBidi" w:cstheme="majorBidi"/>
              </w:rPr>
            </w:pPr>
            <w:r>
              <w:rPr>
                <w:rFonts w:asciiTheme="majorBidi" w:hAnsiTheme="majorBidi" w:cstheme="majorBidi"/>
                <w:color w:val="3A3A3A"/>
                <w:sz w:val="17"/>
                <w:szCs w:val="17"/>
              </w:rPr>
              <w:t>Movement Analysis</w:t>
            </w:r>
          </w:p>
          <w:p w14:paraId="0D97BF9F" w14:textId="77777777" w:rsidR="003000EA" w:rsidRDefault="003000EA" w:rsidP="003000EA">
            <w:pPr>
              <w:bidi w:val="0"/>
              <w:spacing w:before="20" w:line="276" w:lineRule="auto"/>
              <w:rPr>
                <w:rFonts w:asciiTheme="majorBidi" w:hAnsiTheme="majorBidi" w:cstheme="majorBidi"/>
              </w:rPr>
            </w:pPr>
          </w:p>
          <w:p w14:paraId="6AA4C543" w14:textId="3E024F51" w:rsidR="003000EA" w:rsidRPr="00144F67" w:rsidRDefault="00C648D9" w:rsidP="00962122">
            <w:pPr>
              <w:pBdr>
                <w:top w:val="single" w:sz="4" w:space="0" w:color="CCCCCC"/>
              </w:pBdr>
              <w:shd w:val="clear" w:color="auto" w:fill="F0EDE5"/>
              <w:bidi w:val="0"/>
              <w:spacing w:before="80" w:after="80" w:line="276" w:lineRule="auto"/>
              <w:rPr>
                <w:rFonts w:asciiTheme="majorBidi" w:hAnsiTheme="majorBidi" w:cstheme="majorBidi"/>
                <w:b/>
                <w:bCs/>
                <w:sz w:val="22"/>
                <w:szCs w:val="22"/>
              </w:rPr>
            </w:pPr>
            <w:r>
              <w:rPr>
                <w:rFonts w:asciiTheme="majorBidi" w:hAnsiTheme="majorBidi" w:cstheme="majorBidi"/>
                <w:b/>
                <w:bCs/>
                <w:sz w:val="18"/>
                <w:szCs w:val="18"/>
              </w:rPr>
              <w:t>© 20XX Al-Malwiya Academic Press. All rights reserved. Published under CC BY-NC-ND 4.0. AMJSMS</w:t>
            </w:r>
          </w:p>
        </w:tc>
        <w:tc>
          <w:tcPr>
            <w:tcW w:w="6840" w:type="dxa"/>
            <w:tcBorders>
              <w:top w:val="none" w:sz="0" w:space="0" w:color="FFFFFF"/>
              <w:left w:val="none" w:sz="0" w:space="0" w:color="FFFFFF"/>
              <w:bottom w:val="none" w:sz="0" w:space="0" w:color="FFFFFF"/>
              <w:right w:val="none" w:sz="0" w:space="0" w:color="FFFFFF"/>
            </w:tcBorders>
            <w:tcMar>
              <w:top w:w="120" w:type="dxa"/>
              <w:left w:w="220" w:type="dxa"/>
              <w:bottom w:w="120" w:type="dxa"/>
              <w:right w:w="0" w:type="dxa"/>
            </w:tcMar>
          </w:tcPr>
          <w:p w14:paraId="4E30891C" w14:textId="2D425339" w:rsidR="0059311B" w:rsidRPr="006B234C" w:rsidRDefault="00911CBF" w:rsidP="006B234C">
            <w:pPr>
              <w:bidi w:val="0"/>
              <w:spacing w:before="120" w:after="40" w:line="276" w:lineRule="auto"/>
              <w:rPr>
                <w:rFonts w:asciiTheme="majorBidi" w:hAnsiTheme="majorBidi" w:cstheme="majorBidi"/>
                <w:sz w:val="24"/>
                <w:szCs w:val="24"/>
              </w:rPr>
            </w:pPr>
            <w:r>
              <w:rPr>
                <w:rFonts w:asciiTheme="majorBidi" w:hAnsiTheme="majorBidi" w:cstheme="majorBidi"/>
                <w:b/>
                <w:bCs/>
                <w:color w:val="999999"/>
                <w:sz w:val="24"/>
                <w:szCs w:val="24"/>
              </w:rPr>
              <w:t>ABSTRACT</w:t>
            </w:r>
            <w:r>
              <w:rPr>
                <w:rFonts w:asciiTheme="majorBidi" w:hAnsiTheme="majorBidi" w:cstheme="majorBidi"/>
                <w:i/>
                <w:iCs/>
                <w:color w:val="777777"/>
                <w:sz w:val="24"/>
                <w:szCs w:val="24"/>
              </w:rPr>
              <w:t xml:space="preserve"> </w:t>
            </w:r>
          </w:p>
          <w:p w14:paraId="3708D4FC" w14:textId="77777777" w:rsidR="0059311B" w:rsidRPr="006B234C" w:rsidRDefault="0059311B" w:rsidP="006B234C">
            <w:pPr>
              <w:pBdr>
                <w:bottom w:val="single" w:sz="4" w:space="0" w:color="CCCCCC"/>
              </w:pBdr>
              <w:bidi w:val="0"/>
              <w:spacing w:line="276" w:lineRule="auto"/>
              <w:rPr>
                <w:rFonts w:asciiTheme="majorBidi" w:hAnsiTheme="majorBidi" w:cstheme="majorBidi"/>
                <w:sz w:val="24"/>
                <w:szCs w:val="24"/>
              </w:rPr>
            </w:pPr>
          </w:p>
          <w:p w14:paraId="64E94367" w14:textId="6939DD6E" w:rsidR="0059311B" w:rsidRPr="00CD6049" w:rsidRDefault="00911CBF" w:rsidP="00CD6049">
            <w:pPr>
              <w:bidi w:val="0"/>
              <w:spacing w:before="80" w:after="80" w:line="276" w:lineRule="auto"/>
              <w:jc w:val="both"/>
              <w:rPr>
                <w:rFonts w:asciiTheme="majorBidi" w:hAnsiTheme="majorBidi" w:cstheme="majorBidi"/>
                <w:sz w:val="24"/>
                <w:szCs w:val="24"/>
              </w:rPr>
            </w:pPr>
            <w:r>
              <w:rPr>
                <w:rFonts w:asciiTheme="majorBidi" w:hAnsiTheme="majorBidi" w:cstheme="majorBidi"/>
                <w:color w:val="3A3A3A"/>
                <w:sz w:val="24"/>
                <w:szCs w:val="24"/>
              </w:rPr>
              <w:t>This study examined the effects of an eight-week plyometric training program on explosive power and agility in male youth football players. A randomized controlled design was employed, with thirty-two players (age: 16.4 ± 1.2 years; body mass: 67.3 ± 5.8 kg) randomly assigned to either a plyometric training group (PTG, n = 16) or a control group (CG, n = 16). The PTG performed three plyometric sessions per week in addition to their regular football training, while the CG continued with routine football practice only. Explosive power was assessed using the vertical jump test (VJT) and standing broad jump (SBJ), and agility was measured using the Illinois Agility Test (IAT) and the 5-10-5 shuttle run. Pre- and post-intervention assessments were conducted by blinded assessors. Independent and paired t-tests were used for statistical analysis (alpha = 0.05). Following the intervention, the PTG demonstrated significantly greater improvements in VJT (pre: 38.2 ± 3.6 cm vs. post: 46.5 ± 4.1 cm; p &lt; 0.001; Cohen’s d = 2.13), SBJ (pre: 172.4 ± 12.3 cm vs. post: 189.7 ± 11.8 cm; p &lt; 0.001; d = 1.44), and IAT (pre: 16.8 ± 0.9 s vs. post: 15.3 ± 0.7 s; p &lt; 0.001; d = 1.88) compared to the CG. No significant changes were observed in the CG across any measure. These findings indicate that an eight-week structured plyometric program yields large and practically meaningful improvements in explosive power and agility among adolescent football players, supporting its integration into youth football conditioning protocols.</w:t>
            </w:r>
          </w:p>
        </w:tc>
      </w:tr>
    </w:tbl>
    <w:p w14:paraId="768D355F" w14:textId="77777777" w:rsidR="002D6FE4" w:rsidRDefault="002D6FE4" w:rsidP="00E47900">
      <w:pPr>
        <w:pBdr>
          <w:bottom w:val="single" w:sz="6" w:space="2" w:color="C9952A"/>
        </w:pBdr>
        <w:tabs>
          <w:tab w:val="left" w:pos="3600"/>
        </w:tabs>
        <w:bidi w:val="0"/>
        <w:spacing w:before="280" w:after="100"/>
        <w:rPr>
          <w:rFonts w:asciiTheme="majorBidi" w:eastAsia="Georgia" w:hAnsiTheme="majorBidi" w:cstheme="majorBidi"/>
          <w:b/>
          <w:bCs/>
          <w:color w:val="111111"/>
          <w:sz w:val="26"/>
          <w:szCs w:val="26"/>
        </w:rPr>
      </w:pPr>
    </w:p>
    <w:p w14:paraId="2A104B65" w14:textId="4BEDA2D9" w:rsidR="0059311B" w:rsidRPr="00F15001" w:rsidRDefault="00911CBF" w:rsidP="002D6FE4">
      <w:pPr>
        <w:pBdr>
          <w:bottom w:val="single" w:sz="6" w:space="2" w:color="C9952A"/>
        </w:pBdr>
        <w:tabs>
          <w:tab w:val="left" w:pos="3600"/>
        </w:tabs>
        <w:bidi w:val="0"/>
        <w:spacing w:before="280" w:after="100"/>
        <w:rPr>
          <w:rFonts w:asciiTheme="majorBidi" w:hAnsiTheme="majorBidi" w:cstheme="majorBidi"/>
        </w:rPr>
      </w:pPr>
      <w:r>
        <w:rPr>
          <w:rFonts w:asciiTheme="majorBidi" w:eastAsia="Georgia" w:hAnsiTheme="majorBidi" w:cstheme="majorBidi"/>
          <w:b/>
          <w:bCs/>
          <w:color w:val="111111"/>
          <w:sz w:val="26"/>
          <w:szCs w:val="26"/>
        </w:rPr>
        <w:lastRenderedPageBreak/>
        <w:t>1. Introduction</w:t>
      </w:r>
      <w:r>
        <w:rPr>
          <w:rFonts w:asciiTheme="majorBidi" w:eastAsia="Georgia" w:hAnsiTheme="majorBidi" w:cstheme="majorBidi"/>
          <w:b/>
          <w:bCs/>
          <w:color w:val="111111"/>
          <w:sz w:val="26"/>
          <w:szCs w:val="26"/>
        </w:rPr>
        <w:tab/>
      </w:r>
    </w:p>
    <w:p w14:paraId="4E292799" w14:textId="77777777" w:rsidR="0059311B" w:rsidRPr="00F15001" w:rsidRDefault="0059311B" w:rsidP="00F15001">
      <w:pPr>
        <w:bidi w:val="0"/>
        <w:rPr>
          <w:rFonts w:asciiTheme="majorBidi" w:hAnsiTheme="majorBidi" w:cstheme="majorBidi"/>
        </w:rPr>
      </w:pPr>
    </w:p>
    <w:p w14:paraId="1BE1047B" w14:textId="77777777" w:rsidR="0059311B" w:rsidRPr="00CF4996" w:rsidRDefault="00911CBF" w:rsidP="00F15001">
      <w:pPr>
        <w:pBdr>
          <w:left w:val="dashed" w:sz="8" w:space="4" w:color="AAAAAA"/>
        </w:pBdr>
        <w:shd w:val="clear" w:color="auto" w:fill="FAFAFA"/>
        <w:bidi w:val="0"/>
        <w:spacing w:before="80" w:after="80"/>
        <w:jc w:val="both"/>
        <w:rPr>
          <w:rFonts w:asciiTheme="majorBidi" w:hAnsiTheme="majorBidi" w:cstheme="majorBidi"/>
          <w:sz w:val="24"/>
          <w:szCs w:val="24"/>
        </w:rPr>
      </w:pPr>
      <w:r>
        <w:rPr>
          <w:rFonts w:asciiTheme="majorBidi" w:hAnsiTheme="majorBidi" w:cstheme="majorBidi"/>
          <w:i/>
          <w:iCs/>
          <w:sz w:val="24"/>
          <w:szCs w:val="24"/>
        </w:rPr>
        <w:t xml:space="preserve">  Plyometric training has been widely recognized as an effective method for developing neuromuscular performance in sport. By employing rapid stretch-shortening cycle (SSC) movements, plyometric exercises enhance the capacity of muscles to generate explosive force in minimal time (Markovic &amp; Mikulic, 2010). These adaptations are particularly relevant in football, where explosive actions such as sprinting, jumping, and rapid directional changes are frequently performed during match play (Stolen et al., 2005). Given the increasing physical demands placed on young players in competitive football, identifying evidence-based conditioning strategies that safely and effectively enhance these motor qualities is of considerable practical importance.</w:t>
      </w:r>
    </w:p>
    <w:p w14:paraId="2275ABBE" w14:textId="77777777" w:rsidR="0059311B" w:rsidRPr="00CF4996" w:rsidRDefault="00911CBF" w:rsidP="00F15001">
      <w:pPr>
        <w:pBdr>
          <w:left w:val="dashed" w:sz="8" w:space="4" w:color="AAAAAA"/>
        </w:pBdr>
        <w:shd w:val="clear" w:color="auto" w:fill="FAFAFA"/>
        <w:bidi w:val="0"/>
        <w:spacing w:before="80" w:after="80"/>
        <w:jc w:val="both"/>
        <w:rPr>
          <w:rFonts w:asciiTheme="majorBidi" w:hAnsiTheme="majorBidi" w:cstheme="majorBidi"/>
          <w:sz w:val="24"/>
          <w:szCs w:val="24"/>
        </w:rPr>
      </w:pPr>
      <w:r>
        <w:rPr>
          <w:rFonts w:asciiTheme="majorBidi" w:hAnsiTheme="majorBidi" w:cstheme="majorBidi"/>
          <w:i/>
          <w:iCs/>
          <w:sz w:val="24"/>
          <w:szCs w:val="24"/>
        </w:rPr>
        <w:t xml:space="preserve">  Previous research has demonstrated that plyometric training produces significant improvements in vertical jump height, sprint speed, and change-of-direction ability in adult athletes (Ramirez-Campillo et al., 2015; Meylan &amp; Malatesta, 2009). However, evidence relating specifically to youth football players remains comparatively limited, and methodological inconsistencies across studies—including variation in training duration, volume, and intensity—make it difficult to draw firm conclusions about optimal program parameters for adolescent populations (Lloyd et al., 2012). Furthermore, agility, which encompasses both reactive and planned change-of-direction capacity, has received less attention than vertical jump performance in the plyometric literature, despite its centrality to football performance (Sheppard &amp; Young, 2006).</w:t>
      </w:r>
    </w:p>
    <w:p w14:paraId="174A4F53" w14:textId="77777777" w:rsidR="0059311B" w:rsidRPr="00F15001" w:rsidRDefault="00911CBF" w:rsidP="00F15001">
      <w:pPr>
        <w:pBdr>
          <w:left w:val="dashed" w:sz="8" w:space="4" w:color="AAAAAA"/>
        </w:pBdr>
        <w:shd w:val="clear" w:color="auto" w:fill="FAFAFA"/>
        <w:bidi w:val="0"/>
        <w:spacing w:before="80" w:after="80"/>
        <w:jc w:val="both"/>
        <w:rPr>
          <w:rFonts w:asciiTheme="majorBidi" w:hAnsiTheme="majorBidi" w:cstheme="majorBidi"/>
        </w:rPr>
      </w:pPr>
      <w:r>
        <w:rPr>
          <w:rFonts w:asciiTheme="majorBidi" w:hAnsiTheme="majorBidi" w:cstheme="majorBidi"/>
          <w:i/>
          <w:iCs/>
          <w:sz w:val="24"/>
          <w:szCs w:val="24"/>
        </w:rPr>
        <w:t xml:space="preserve">  The purpose of this study was therefore to investigate the effects of an eight-week plyometric training program, integrated within regular football practice, on explosive power and agility in male youth football players. It was hypothesized that the plyometric training group would exhibit significantly greater improvements in vertical jump, standing broad jump, and agility test performance compared to a control group receiving standard football training only</w:t>
      </w:r>
      <w:r>
        <w:rPr>
          <w:rFonts w:asciiTheme="majorBidi" w:hAnsiTheme="majorBidi" w:cstheme="majorBidi"/>
          <w:i/>
          <w:iCs/>
          <w:color w:val="AAAAAA"/>
          <w:sz w:val="19"/>
          <w:szCs w:val="19"/>
        </w:rPr>
        <w:t>.</w:t>
      </w:r>
    </w:p>
    <w:p w14:paraId="456E6CCC" w14:textId="1CD56DF0" w:rsidR="0059311B" w:rsidRPr="00F15001" w:rsidRDefault="00911CBF" w:rsidP="00F61470">
      <w:pPr>
        <w:pBdr>
          <w:bottom w:val="single" w:sz="6" w:space="2" w:color="C9952A"/>
        </w:pBdr>
        <w:bidi w:val="0"/>
        <w:spacing w:before="280" w:after="100"/>
        <w:rPr>
          <w:rFonts w:asciiTheme="majorBidi" w:hAnsiTheme="majorBidi" w:cstheme="majorBidi"/>
        </w:rPr>
      </w:pPr>
      <w:r>
        <w:rPr>
          <w:rFonts w:asciiTheme="majorBidi" w:eastAsia="Georgia" w:hAnsiTheme="majorBidi" w:cstheme="majorBidi"/>
          <w:b/>
          <w:bCs/>
          <w:color w:val="111111"/>
          <w:sz w:val="26"/>
          <w:szCs w:val="26"/>
        </w:rPr>
        <w:t>2. Materials and Methods</w:t>
      </w:r>
    </w:p>
    <w:p w14:paraId="3A6B5E70" w14:textId="302C899F" w:rsidR="00913420" w:rsidRPr="00A43404" w:rsidRDefault="00913420" w:rsidP="00A43404">
      <w:pPr>
        <w:pBdr>
          <w:left w:val="dashed" w:sz="8" w:space="4" w:color="AAAAAA"/>
        </w:pBdr>
        <w:shd w:val="clear" w:color="auto" w:fill="FAFAFA"/>
        <w:bidi w:val="0"/>
        <w:spacing w:before="80" w:after="80"/>
        <w:jc w:val="both"/>
        <w:rPr>
          <w:rFonts w:asciiTheme="majorBidi" w:hAnsiTheme="majorBidi" w:cstheme="majorBidi"/>
        </w:rPr>
      </w:pPr>
      <w:r>
        <w:rPr>
          <w:rFonts w:asciiTheme="majorBidi" w:hAnsiTheme="majorBidi" w:cstheme="majorBidi"/>
          <w:i/>
          <w:iCs/>
          <w:sz w:val="19"/>
          <w:szCs w:val="19"/>
        </w:rPr>
        <w:t xml:space="preserve">  </w:t>
      </w:r>
      <w:r>
        <w:rPr>
          <w:rFonts w:asciiTheme="majorBidi" w:hAnsiTheme="majorBidi" w:cstheme="majorBidi"/>
          <w:i/>
          <w:iCs/>
          <w:sz w:val="24"/>
          <w:szCs w:val="24"/>
        </w:rPr>
        <w:t>This study employed a randomized controlled experimental design to examine the effects of plyometric training on explosive power and agility in youth football players over an eight-week intervention period</w:t>
      </w:r>
    </w:p>
    <w:p w14:paraId="0A675A05" w14:textId="42E73E7E" w:rsidR="0059311B" w:rsidRPr="00F15001" w:rsidRDefault="00911CBF" w:rsidP="00F15001">
      <w:pPr>
        <w:bidi w:val="0"/>
        <w:spacing w:before="180" w:after="60"/>
        <w:rPr>
          <w:rFonts w:asciiTheme="majorBidi" w:hAnsiTheme="majorBidi" w:cstheme="majorBidi"/>
        </w:rPr>
      </w:pPr>
      <w:r>
        <w:rPr>
          <w:rFonts w:asciiTheme="majorBidi" w:hAnsiTheme="majorBidi" w:cstheme="majorBidi"/>
          <w:b/>
          <w:bCs/>
          <w:color w:val="111111"/>
          <w:sz w:val="21"/>
          <w:szCs w:val="21"/>
        </w:rPr>
        <w:t>2.1. Study Design</w:t>
      </w:r>
    </w:p>
    <w:p w14:paraId="39F52EBC" w14:textId="77777777" w:rsidR="0059311B" w:rsidRPr="00F61470" w:rsidRDefault="00911CBF" w:rsidP="00F15001">
      <w:pPr>
        <w:pBdr>
          <w:left w:val="dashed" w:sz="8" w:space="4" w:color="AAAAAA"/>
        </w:pBdr>
        <w:shd w:val="clear" w:color="auto" w:fill="FAFAFA"/>
        <w:bidi w:val="0"/>
        <w:spacing w:before="80" w:after="80"/>
        <w:jc w:val="both"/>
        <w:rPr>
          <w:rFonts w:asciiTheme="majorBidi" w:hAnsiTheme="majorBidi" w:cstheme="majorBidi"/>
        </w:rPr>
      </w:pPr>
      <w:r>
        <w:rPr>
          <w:rFonts w:asciiTheme="majorBidi" w:hAnsiTheme="majorBidi" w:cstheme="majorBidi"/>
          <w:i/>
          <w:iCs/>
          <w:sz w:val="19"/>
          <w:szCs w:val="19"/>
        </w:rPr>
        <w:t xml:space="preserve">  </w:t>
      </w:r>
      <w:bookmarkStart w:id="0" w:name="_Hlk226756576"/>
      <w:r>
        <w:rPr>
          <w:rFonts w:asciiTheme="majorBidi" w:hAnsiTheme="majorBidi" w:cstheme="majorBidi"/>
          <w:i/>
          <w:iCs/>
          <w:sz w:val="24"/>
          <w:szCs w:val="24"/>
        </w:rPr>
        <w:t xml:space="preserve">A randomized controlled trial design was adopted. Following baseline assessments, participants were randomly allocated using a computer-generated randomization list to either the plyometric training group (PTG) or the control group (CG). The study was approved by the Research Ethics Committee </w:t>
      </w:r>
      <w:bookmarkEnd w:id="0"/>
      <w:r>
        <w:rPr>
          <w:rFonts w:asciiTheme="majorBidi" w:hAnsiTheme="majorBidi" w:cstheme="majorBidi"/>
          <w:i/>
          <w:iCs/>
          <w:sz w:val="24"/>
          <w:szCs w:val="24"/>
        </w:rPr>
        <w:t>of the University of Baghdad, College of Physical Education and Sport Sciences (Approval No. UOB-PESS-2025-047) and conducted in accordance with the Declaration of Helsinki. Written informed consent was obtained from all participants and their legal guardians prior to enrolment.</w:t>
      </w:r>
    </w:p>
    <w:p w14:paraId="0E0EAFA0" w14:textId="3C554B5B" w:rsidR="0059311B" w:rsidRPr="00F15001" w:rsidRDefault="00911CBF" w:rsidP="00F15001">
      <w:pPr>
        <w:bidi w:val="0"/>
        <w:spacing w:before="180" w:after="60"/>
        <w:rPr>
          <w:rFonts w:asciiTheme="majorBidi" w:hAnsiTheme="majorBidi" w:cstheme="majorBidi"/>
        </w:rPr>
      </w:pPr>
      <w:r>
        <w:rPr>
          <w:rFonts w:asciiTheme="majorBidi" w:hAnsiTheme="majorBidi" w:cstheme="majorBidi"/>
          <w:b/>
          <w:bCs/>
          <w:color w:val="111111"/>
          <w:sz w:val="21"/>
          <w:szCs w:val="21"/>
        </w:rPr>
        <w:t>2.2. Participants</w:t>
      </w:r>
    </w:p>
    <w:p w14:paraId="647451FB" w14:textId="77777777" w:rsidR="0059311B" w:rsidRPr="00F61470" w:rsidRDefault="00911CBF" w:rsidP="00F15001">
      <w:pPr>
        <w:pBdr>
          <w:left w:val="dashed" w:sz="8" w:space="4" w:color="AAAAAA"/>
        </w:pBdr>
        <w:shd w:val="clear" w:color="auto" w:fill="FAFAFA"/>
        <w:bidi w:val="0"/>
        <w:spacing w:before="80" w:after="80"/>
        <w:jc w:val="both"/>
        <w:rPr>
          <w:rFonts w:asciiTheme="majorBidi" w:hAnsiTheme="majorBidi" w:cstheme="majorBidi"/>
        </w:rPr>
      </w:pPr>
      <w:r>
        <w:rPr>
          <w:rFonts w:asciiTheme="majorBidi" w:hAnsiTheme="majorBidi" w:cstheme="majorBidi"/>
          <w:i/>
          <w:iCs/>
          <w:sz w:val="19"/>
          <w:szCs w:val="19"/>
        </w:rPr>
        <w:t xml:space="preserve">  </w:t>
      </w:r>
      <w:r>
        <w:rPr>
          <w:rFonts w:asciiTheme="majorBidi" w:hAnsiTheme="majorBidi" w:cstheme="majorBidi"/>
          <w:i/>
          <w:iCs/>
          <w:sz w:val="24"/>
          <w:szCs w:val="24"/>
        </w:rPr>
        <w:t>Thirty-two male youth football players were recruited from two affiliated football academies in Baghdad, Iraq. Eligibility criteria required participants to be aged 15–18 years, registered members of a competitive football academy for at least one year, free from musculoskeletal injury for the preceding six months, and not engaged in any supplementary strength or plyometric conditioning program. Participants were excluded if they had any cardiovascular or metabolic contraindications to high-intensity exercise. The sample (age: 16.4 ± 1.2 years; height: 174.6 ± 5.3 cm; body mass: 67.3 ± 5.8 kg) was randomly divided into PTG (n = 16) and CG (n = 16), with no significant between-group differences at baseline (p &gt; 0.05).</w:t>
      </w:r>
    </w:p>
    <w:p w14:paraId="5D7A079D" w14:textId="2F38A4E5" w:rsidR="0059311B" w:rsidRPr="00F15001" w:rsidRDefault="00911CBF" w:rsidP="00F15001">
      <w:pPr>
        <w:bidi w:val="0"/>
        <w:spacing w:before="180" w:after="60"/>
        <w:rPr>
          <w:rFonts w:asciiTheme="majorBidi" w:hAnsiTheme="majorBidi" w:cstheme="majorBidi"/>
        </w:rPr>
      </w:pPr>
      <w:r>
        <w:rPr>
          <w:rFonts w:asciiTheme="majorBidi" w:hAnsiTheme="majorBidi" w:cstheme="majorBidi"/>
          <w:b/>
          <w:bCs/>
          <w:color w:val="111111"/>
          <w:sz w:val="21"/>
          <w:szCs w:val="21"/>
        </w:rPr>
        <w:t>2.3. Procedures and Instruments</w:t>
      </w:r>
    </w:p>
    <w:p w14:paraId="2D82EE6C" w14:textId="77777777" w:rsidR="0059311B" w:rsidRPr="00F15001" w:rsidRDefault="00911CBF" w:rsidP="00F15001">
      <w:pPr>
        <w:pBdr>
          <w:left w:val="dashed" w:sz="8" w:space="4" w:color="AAAAAA"/>
        </w:pBdr>
        <w:shd w:val="clear" w:color="auto" w:fill="FAFAFA"/>
        <w:bidi w:val="0"/>
        <w:spacing w:before="80" w:after="80"/>
        <w:jc w:val="both"/>
        <w:rPr>
          <w:rFonts w:asciiTheme="majorBidi" w:hAnsiTheme="majorBidi" w:cstheme="majorBidi"/>
        </w:rPr>
      </w:pPr>
      <w:r>
        <w:rPr>
          <w:rFonts w:asciiTheme="majorBidi" w:hAnsiTheme="majorBidi" w:cstheme="majorBidi"/>
          <w:i/>
          <w:iCs/>
          <w:color w:val="AAAAAA"/>
          <w:sz w:val="19"/>
          <w:szCs w:val="19"/>
        </w:rPr>
        <w:t xml:space="preserve">  </w:t>
      </w:r>
      <w:r>
        <w:rPr>
          <w:rFonts w:asciiTheme="majorBidi" w:hAnsiTheme="majorBidi" w:cstheme="majorBidi"/>
          <w:i/>
          <w:iCs/>
          <w:sz w:val="24"/>
          <w:szCs w:val="24"/>
        </w:rPr>
        <w:t xml:space="preserve">All testing was conducted at the university’s indoor sports hall under standardized conditions (temperature: 22–24°C). Pre- and post-tests were performed on the same day of the week, at the same time of day, by blinded assessors. The PTG performed three plyometric sessions per week (Monday, Wednesday, Friday) integrated within the regular 90-minute football training session, for eight weeks. Sessions were supervised by a certified strength and conditioning specialist. The plyometric protocol included depth jumps, box jumps, lateral bounds, hurdle hops, and single-leg hops, progressing systematically in volume and intensity across the eight weeks. The CG continued their regular football training without any plyometric exercises. Explosive power was assessed using (1) the Vertical Jump Test </w:t>
      </w:r>
      <w:r>
        <w:rPr>
          <w:rFonts w:asciiTheme="majorBidi" w:hAnsiTheme="majorBidi" w:cstheme="majorBidi"/>
          <w:i/>
          <w:iCs/>
          <w:sz w:val="24"/>
          <w:szCs w:val="24"/>
        </w:rPr>
        <w:lastRenderedPageBreak/>
        <w:t xml:space="preserve">(VJT), measured with a Vertec jump measurement device (Sports Imports, Columbus, OH, USA), and (2) the Standing Broad Jump (SBJ), measured with a standard measuring tape. Agility was assessed using (3) the Illinois Agility Test (IAT), timed with a dual-beam electronic timing gate (Brower Timing Systems, Draper, UT, USA), and (4) the 5-10-5 Pro Agility </w:t>
      </w:r>
      <w:r>
        <w:rPr>
          <w:rFonts w:asciiTheme="majorBidi" w:hAnsiTheme="majorBidi" w:cstheme="majorBidi"/>
          <w:i/>
          <w:iCs/>
          <w:sz w:val="19"/>
          <w:szCs w:val="19"/>
        </w:rPr>
        <w:t>Shuttle Run. Each test was performed twice with a three-minute rest interval between attempts, and the best value was retained for analysis</w:t>
      </w:r>
      <w:r>
        <w:rPr>
          <w:rFonts w:asciiTheme="majorBidi" w:hAnsiTheme="majorBidi" w:cstheme="majorBidi"/>
          <w:i/>
          <w:iCs/>
          <w:color w:val="AAAAAA"/>
          <w:sz w:val="19"/>
          <w:szCs w:val="19"/>
        </w:rPr>
        <w:t>.</w:t>
      </w:r>
    </w:p>
    <w:p w14:paraId="13017DA7" w14:textId="2B1ABFEE" w:rsidR="0059311B" w:rsidRPr="00F15001" w:rsidRDefault="00911CBF" w:rsidP="00F15001">
      <w:pPr>
        <w:bidi w:val="0"/>
        <w:spacing w:before="180" w:after="60"/>
        <w:rPr>
          <w:rFonts w:asciiTheme="majorBidi" w:hAnsiTheme="majorBidi" w:cstheme="majorBidi"/>
        </w:rPr>
      </w:pPr>
      <w:r>
        <w:rPr>
          <w:rFonts w:asciiTheme="majorBidi" w:hAnsiTheme="majorBidi" w:cstheme="majorBidi"/>
          <w:b/>
          <w:bCs/>
          <w:color w:val="111111"/>
          <w:sz w:val="21"/>
          <w:szCs w:val="21"/>
        </w:rPr>
        <w:t>2.4. Statistical Analysis</w:t>
      </w:r>
    </w:p>
    <w:p w14:paraId="3B3E3008" w14:textId="77777777" w:rsidR="0059311B" w:rsidRPr="00F61470" w:rsidRDefault="00911CBF" w:rsidP="00F15001">
      <w:pPr>
        <w:pBdr>
          <w:left w:val="dashed" w:sz="8" w:space="4" w:color="AAAAAA"/>
        </w:pBdr>
        <w:shd w:val="clear" w:color="auto" w:fill="FAFAFA"/>
        <w:bidi w:val="0"/>
        <w:spacing w:before="80" w:after="80"/>
        <w:jc w:val="both"/>
        <w:rPr>
          <w:rFonts w:asciiTheme="majorBidi" w:hAnsiTheme="majorBidi" w:cstheme="majorBidi"/>
          <w:sz w:val="28"/>
          <w:szCs w:val="28"/>
        </w:rPr>
      </w:pPr>
      <w:r>
        <w:rPr>
          <w:rFonts w:asciiTheme="majorBidi" w:hAnsiTheme="majorBidi" w:cstheme="majorBidi"/>
          <w:i/>
          <w:iCs/>
          <w:sz w:val="24"/>
          <w:szCs w:val="24"/>
        </w:rPr>
        <w:t xml:space="preserve">  Data were analyzed using IBM SPSS Statistics (Version 26.0; IBM Corp., Armonk, NY, USA). Normality of distribution was confirmed via the Shapiro–Wilk test (p &gt; 0.05 for all variables). Descriptive statistics (mean ± SD) were calculated for all outcome measures. Paired-samples t-tests were used to assess within-group changes (pre vs. post), and independent-samples t-tests evaluated between-group differences in change scores. Effect sizes were calculated using Cohen’s d, with thresholds of small (0.20), medium (0.50), and large (0.80) as defined by Cohen (1988). The alpha level for statistical significance was set at p &lt; 0.05 for all comparisons.</w:t>
      </w:r>
    </w:p>
    <w:p w14:paraId="427A9B1E" w14:textId="3C41E607" w:rsidR="0059311B" w:rsidRPr="00F15001" w:rsidRDefault="00911CBF" w:rsidP="00F61470">
      <w:pPr>
        <w:pBdr>
          <w:bottom w:val="single" w:sz="6" w:space="2" w:color="C9952A"/>
        </w:pBdr>
        <w:bidi w:val="0"/>
        <w:spacing w:before="280" w:after="100"/>
        <w:rPr>
          <w:rFonts w:asciiTheme="majorBidi" w:hAnsiTheme="majorBidi" w:cstheme="majorBidi"/>
        </w:rPr>
      </w:pPr>
      <w:r>
        <w:rPr>
          <w:rFonts w:asciiTheme="majorBidi" w:eastAsia="Georgia" w:hAnsiTheme="majorBidi" w:cstheme="majorBidi"/>
          <w:b/>
          <w:bCs/>
          <w:color w:val="111111"/>
          <w:sz w:val="26"/>
          <w:szCs w:val="26"/>
        </w:rPr>
        <w:t>3. Results</w:t>
      </w:r>
    </w:p>
    <w:p w14:paraId="6163965F" w14:textId="19987151" w:rsidR="0059311B" w:rsidRPr="00F61470" w:rsidRDefault="00911CBF" w:rsidP="005230A6">
      <w:pPr>
        <w:pBdr>
          <w:left w:val="dashed" w:sz="8" w:space="4" w:color="AAAAAA"/>
        </w:pBdr>
        <w:shd w:val="clear" w:color="auto" w:fill="FAFAFA"/>
        <w:bidi w:val="0"/>
        <w:spacing w:before="80" w:after="80"/>
        <w:jc w:val="both"/>
        <w:rPr>
          <w:rFonts w:asciiTheme="majorBidi" w:hAnsiTheme="majorBidi" w:cstheme="majorBidi"/>
          <w:sz w:val="24"/>
          <w:szCs w:val="24"/>
        </w:rPr>
      </w:pPr>
      <w:r>
        <w:rPr>
          <w:rFonts w:asciiTheme="majorBidi" w:hAnsiTheme="majorBidi" w:cstheme="majorBidi"/>
          <w:i/>
          <w:iCs/>
          <w:sz w:val="24"/>
          <w:szCs w:val="24"/>
        </w:rPr>
        <w:t xml:space="preserve"> AII thirty-two participants completed the eight-week intervention with full adherence (100% session attendance). No adverse events or injuries were reported during the study period. Baseline characteristics did not differ significantly between groups for any measured variable (p &gt; 0.05). Results of pre- and post-intervention comparisons for all outcome measures are presented below Within the PTG, significant improvements were observed in all four performance measures following the eight-week plyometric program (p &lt; 0.001 for all). Vertical jump height increased from 38.2 ± 3.6 cm to 46.5 ± 4.1 cm (mean difference: +8.3 cm; 95% CI: 6.7–9.9; Cohen’s d = 2.13). Standing broad jump improved from 172.4 ± 12.3 cm to 189.7 ± 11.8 cm (mean difference: +17.3 cm; 95% CI: 13.8–20.8; d = 1.44). Illinois Agility Test time decreased from 16.8 ± 0.9 s to 15.3 ± 0.7 s (mean difference: −1.5 s; 95% CI: −1.9 to −1.1; d = 1.88), and 5-10-5 shuttle run time improved from 4.92 ± 0.21 s to 4.56 ± 0.18 s (mean difference: −0.36 s; 95% CI: −0.44 to −0.28; d = 1.85). In contrast, no statistically significant changes were recorded in the CG for any variable (p &gt; 0.05). Between-group comparisons of change scores confirmed that the PTG exhibited significantly greater gains than the CG across all measures (p &lt; 0.001). Full descriptive statistics are presented in Table 1.</w:t>
      </w:r>
    </w:p>
    <w:p w14:paraId="448C9E3E" w14:textId="77777777" w:rsidR="0059311B" w:rsidRPr="00F15001" w:rsidRDefault="0059311B" w:rsidP="00F15001">
      <w:pPr>
        <w:bidi w:val="0"/>
        <w:rPr>
          <w:rFonts w:asciiTheme="majorBidi" w:hAnsiTheme="majorBidi" w:cstheme="majorBidi"/>
        </w:rPr>
      </w:pPr>
    </w:p>
    <w:p w14:paraId="27F61923" w14:textId="77777777" w:rsidR="00D200F2" w:rsidRPr="00D55734" w:rsidRDefault="00D200F2" w:rsidP="000738E4">
      <w:pPr>
        <w:bidi w:val="0"/>
        <w:spacing w:before="100" w:after="40" w:line="276" w:lineRule="auto"/>
        <w:jc w:val="center"/>
        <w:rPr>
          <w:rFonts w:asciiTheme="majorBidi" w:hAnsiTheme="majorBidi" w:cstheme="majorBidi"/>
          <w:sz w:val="24"/>
          <w:szCs w:val="24"/>
        </w:rPr>
      </w:pPr>
      <w:r>
        <w:rPr>
          <w:rFonts w:asciiTheme="majorBidi" w:hAnsiTheme="majorBidi" w:cstheme="majorBidi"/>
          <w:b/>
          <w:bCs/>
          <w:color w:val="111111"/>
          <w:sz w:val="24"/>
          <w:szCs w:val="24"/>
        </w:rPr>
        <w:t xml:space="preserve">Table 1. </w:t>
      </w:r>
      <w:r>
        <w:rPr>
          <w:rFonts w:asciiTheme="majorBidi" w:hAnsiTheme="majorBidi" w:cstheme="majorBidi"/>
          <w:color w:val="3A3A3A"/>
        </w:rPr>
        <w:t>Pre- and post-intervention performance outcomes for the Plyometric Training Group (PTG) and Control Group (CG) (Mean ± SD).</w:t>
      </w:r>
    </w:p>
    <w:tbl>
      <w:tblPr>
        <w:tblW w:w="9360" w:type="dxa"/>
        <w:tblBorders>
          <w:top w:val="single" w:sz="8" w:space="0" w:color="122B1E"/>
          <w:bottom w:val="single" w:sz="8" w:space="0" w:color="122B1E"/>
          <w:insideH w:val="single" w:sz="4" w:space="0" w:color="CCCCCC"/>
        </w:tblBorders>
        <w:tblCellMar>
          <w:top w:w="80" w:type="dxa"/>
          <w:left w:w="100" w:type="dxa"/>
          <w:bottom w:w="80" w:type="dxa"/>
          <w:right w:w="100" w:type="dxa"/>
        </w:tblCellMar>
        <w:tblLook w:val="04A0" w:firstRow="1" w:lastRow="0" w:firstColumn="1" w:lastColumn="0" w:noHBand="0" w:noVBand="1"/>
      </w:tblPr>
      <w:tblGrid>
        <w:gridCol w:w="2100"/>
        <w:gridCol w:w="900"/>
        <w:gridCol w:w="900"/>
        <w:gridCol w:w="900"/>
        <w:gridCol w:w="900"/>
        <w:gridCol w:w="960"/>
        <w:gridCol w:w="900"/>
        <w:gridCol w:w="1800"/>
      </w:tblGrid>
      <w:tr w:rsidR="00D200F2" w:rsidRPr="000738E4" w14:paraId="3EEF9912" w14:textId="77777777" w:rsidTr="000738E4">
        <w:trPr>
          <w:tblHeader/>
        </w:trPr>
        <w:tc>
          <w:tcPr>
            <w:tcW w:w="2100" w:type="dxa"/>
            <w:shd w:val="clear" w:color="auto" w:fill="122B1E"/>
            <w:vAlign w:val="center"/>
          </w:tcPr>
          <w:p w14:paraId="272F2550"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FFFFFF"/>
                <w:sz w:val="18"/>
              </w:rPr>
              <w:t>Variable</w:t>
            </w:r>
          </w:p>
        </w:tc>
        <w:tc>
          <w:tcPr>
            <w:tcW w:w="3600" w:type="dxa"/>
            <w:gridSpan w:val="4"/>
            <w:shd w:val="clear" w:color="auto" w:fill="122B1E"/>
            <w:vAlign w:val="center"/>
          </w:tcPr>
          <w:p w14:paraId="56B7407C"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C9952A"/>
                <w:sz w:val="18"/>
              </w:rPr>
              <w:t>Plyometric Training Group (PTG, n = 16)</w:t>
            </w:r>
          </w:p>
        </w:tc>
        <w:tc>
          <w:tcPr>
            <w:tcW w:w="3660" w:type="dxa"/>
            <w:gridSpan w:val="3"/>
            <w:tcBorders>
              <w:left w:val="single" w:sz="6" w:space="0" w:color="C9952A"/>
            </w:tcBorders>
            <w:shd w:val="clear" w:color="auto" w:fill="122B1E"/>
            <w:vAlign w:val="center"/>
          </w:tcPr>
          <w:p w14:paraId="4F31A764"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AAAAAA"/>
                <w:sz w:val="18"/>
              </w:rPr>
              <w:t>Control Group (CG, n = 16)</w:t>
            </w:r>
          </w:p>
        </w:tc>
      </w:tr>
      <w:tr w:rsidR="00D200F2" w:rsidRPr="000738E4" w14:paraId="4CBEBA7A" w14:textId="77777777" w:rsidTr="000738E4">
        <w:trPr>
          <w:tblHeader/>
        </w:trPr>
        <w:tc>
          <w:tcPr>
            <w:tcW w:w="2100" w:type="dxa"/>
            <w:shd w:val="clear" w:color="auto" w:fill="1E3D2B"/>
            <w:vAlign w:val="center"/>
          </w:tcPr>
          <w:p w14:paraId="08D0170B" w14:textId="77777777" w:rsidR="00D200F2" w:rsidRPr="000738E4" w:rsidRDefault="00D200F2" w:rsidP="000738E4">
            <w:pPr>
              <w:spacing w:before="50" w:after="50"/>
              <w:jc w:val="center"/>
              <w:rPr>
                <w:rFonts w:asciiTheme="majorBidi" w:hAnsiTheme="majorBidi" w:cstheme="majorBidi"/>
                <w:sz w:val="18"/>
              </w:rPr>
            </w:pPr>
            <w:r>
              <w:rPr>
                <w:rFonts w:asciiTheme="majorBidi" w:hAnsiTheme="majorBidi" w:cstheme="majorBidi"/>
                <w:b/>
                <w:color w:val="FFFFFF"/>
                <w:sz w:val="18"/>
              </w:rPr>
              <w:t>Outcome Measure</w:t>
            </w:r>
          </w:p>
        </w:tc>
        <w:tc>
          <w:tcPr>
            <w:tcW w:w="900" w:type="dxa"/>
            <w:shd w:val="clear" w:color="auto" w:fill="1E3D2B"/>
            <w:vAlign w:val="center"/>
          </w:tcPr>
          <w:p w14:paraId="3210A9C2" w14:textId="77777777" w:rsidR="00D200F2" w:rsidRPr="000738E4" w:rsidRDefault="00D200F2" w:rsidP="000738E4">
            <w:pPr>
              <w:spacing w:before="50" w:after="50"/>
              <w:jc w:val="center"/>
              <w:rPr>
                <w:rFonts w:asciiTheme="majorBidi" w:hAnsiTheme="majorBidi" w:cstheme="majorBidi"/>
                <w:sz w:val="18"/>
              </w:rPr>
            </w:pPr>
            <w:r>
              <w:rPr>
                <w:rFonts w:asciiTheme="majorBidi" w:hAnsiTheme="majorBidi" w:cstheme="majorBidi"/>
                <w:b/>
                <w:color w:val="E8C46A"/>
                <w:sz w:val="18"/>
              </w:rPr>
              <w:t>Pre</w:t>
            </w:r>
          </w:p>
        </w:tc>
        <w:tc>
          <w:tcPr>
            <w:tcW w:w="900" w:type="dxa"/>
            <w:shd w:val="clear" w:color="auto" w:fill="1E3D2B"/>
            <w:vAlign w:val="center"/>
          </w:tcPr>
          <w:p w14:paraId="444D4A1F" w14:textId="77777777" w:rsidR="00D200F2" w:rsidRPr="000738E4" w:rsidRDefault="00D200F2" w:rsidP="000738E4">
            <w:pPr>
              <w:spacing w:before="50" w:after="50"/>
              <w:jc w:val="center"/>
              <w:rPr>
                <w:rFonts w:asciiTheme="majorBidi" w:hAnsiTheme="majorBidi" w:cstheme="majorBidi"/>
                <w:sz w:val="18"/>
              </w:rPr>
            </w:pPr>
            <w:r>
              <w:rPr>
                <w:rFonts w:asciiTheme="majorBidi" w:hAnsiTheme="majorBidi" w:cstheme="majorBidi"/>
                <w:b/>
                <w:color w:val="E8C46A"/>
                <w:sz w:val="18"/>
              </w:rPr>
              <w:t>Post</w:t>
            </w:r>
          </w:p>
        </w:tc>
        <w:tc>
          <w:tcPr>
            <w:tcW w:w="900" w:type="dxa"/>
            <w:shd w:val="clear" w:color="auto" w:fill="1E3D2B"/>
            <w:vAlign w:val="center"/>
          </w:tcPr>
          <w:p w14:paraId="64216E83" w14:textId="77777777" w:rsidR="00D200F2" w:rsidRPr="000738E4" w:rsidRDefault="00D200F2" w:rsidP="000738E4">
            <w:pPr>
              <w:spacing w:before="50" w:after="50"/>
              <w:jc w:val="center"/>
              <w:rPr>
                <w:rFonts w:asciiTheme="majorBidi" w:hAnsiTheme="majorBidi" w:cstheme="majorBidi"/>
                <w:sz w:val="18"/>
              </w:rPr>
            </w:pPr>
            <w:r>
              <w:rPr>
                <w:rFonts w:asciiTheme="majorBidi" w:hAnsiTheme="majorBidi" w:cstheme="majorBidi"/>
                <w:b/>
                <w:color w:val="E8C46A"/>
                <w:sz w:val="18"/>
              </w:rPr>
              <w:t>Δ</w:t>
            </w:r>
          </w:p>
        </w:tc>
        <w:tc>
          <w:tcPr>
            <w:tcW w:w="900" w:type="dxa"/>
            <w:shd w:val="clear" w:color="auto" w:fill="1E3D2B"/>
            <w:vAlign w:val="center"/>
          </w:tcPr>
          <w:p w14:paraId="71997CF7" w14:textId="77777777" w:rsidR="00D200F2" w:rsidRPr="000738E4" w:rsidRDefault="00D200F2" w:rsidP="000738E4">
            <w:pPr>
              <w:spacing w:before="50" w:after="50"/>
              <w:jc w:val="center"/>
              <w:rPr>
                <w:rFonts w:asciiTheme="majorBidi" w:hAnsiTheme="majorBidi" w:cstheme="majorBidi"/>
                <w:sz w:val="18"/>
              </w:rPr>
            </w:pPr>
            <w:r>
              <w:rPr>
                <w:rFonts w:asciiTheme="majorBidi" w:hAnsiTheme="majorBidi" w:cstheme="majorBidi"/>
                <w:b/>
                <w:color w:val="E8C46A"/>
                <w:sz w:val="18"/>
              </w:rPr>
              <w:t>d</w:t>
            </w:r>
          </w:p>
        </w:tc>
        <w:tc>
          <w:tcPr>
            <w:tcW w:w="960" w:type="dxa"/>
            <w:tcBorders>
              <w:left w:val="single" w:sz="6" w:space="0" w:color="C9952A"/>
            </w:tcBorders>
            <w:shd w:val="clear" w:color="auto" w:fill="1E3D2B"/>
            <w:vAlign w:val="center"/>
          </w:tcPr>
          <w:p w14:paraId="285C06B8" w14:textId="77777777" w:rsidR="00D200F2" w:rsidRPr="000738E4" w:rsidRDefault="00D200F2" w:rsidP="000738E4">
            <w:pPr>
              <w:spacing w:before="50" w:after="50"/>
              <w:jc w:val="center"/>
              <w:rPr>
                <w:rFonts w:asciiTheme="majorBidi" w:hAnsiTheme="majorBidi" w:cstheme="majorBidi"/>
                <w:sz w:val="18"/>
              </w:rPr>
            </w:pPr>
            <w:r>
              <w:rPr>
                <w:rFonts w:asciiTheme="majorBidi" w:hAnsiTheme="majorBidi" w:cstheme="majorBidi"/>
                <w:b/>
                <w:color w:val="AAAAAA"/>
                <w:sz w:val="18"/>
              </w:rPr>
              <w:t>Pre</w:t>
            </w:r>
          </w:p>
        </w:tc>
        <w:tc>
          <w:tcPr>
            <w:tcW w:w="900" w:type="dxa"/>
            <w:shd w:val="clear" w:color="auto" w:fill="1E3D2B"/>
            <w:vAlign w:val="center"/>
          </w:tcPr>
          <w:p w14:paraId="6D7A8567" w14:textId="77777777" w:rsidR="00D200F2" w:rsidRPr="000738E4" w:rsidRDefault="00D200F2" w:rsidP="000738E4">
            <w:pPr>
              <w:spacing w:before="50" w:after="50"/>
              <w:jc w:val="center"/>
              <w:rPr>
                <w:rFonts w:asciiTheme="majorBidi" w:hAnsiTheme="majorBidi" w:cstheme="majorBidi"/>
                <w:sz w:val="18"/>
              </w:rPr>
            </w:pPr>
            <w:r>
              <w:rPr>
                <w:rFonts w:asciiTheme="majorBidi" w:hAnsiTheme="majorBidi" w:cstheme="majorBidi"/>
                <w:b/>
                <w:color w:val="AAAAAA"/>
                <w:sz w:val="18"/>
              </w:rPr>
              <w:t>Post</w:t>
            </w:r>
          </w:p>
        </w:tc>
        <w:tc>
          <w:tcPr>
            <w:tcW w:w="900" w:type="dxa"/>
            <w:shd w:val="clear" w:color="auto" w:fill="1E3D2B"/>
            <w:vAlign w:val="center"/>
          </w:tcPr>
          <w:p w14:paraId="105CA1FA" w14:textId="77777777" w:rsidR="00D200F2" w:rsidRPr="000738E4" w:rsidRDefault="00D200F2" w:rsidP="000738E4">
            <w:pPr>
              <w:spacing w:before="50" w:after="50"/>
              <w:jc w:val="center"/>
              <w:rPr>
                <w:rFonts w:asciiTheme="majorBidi" w:hAnsiTheme="majorBidi" w:cstheme="majorBidi"/>
                <w:sz w:val="18"/>
              </w:rPr>
            </w:pPr>
            <w:r>
              <w:rPr>
                <w:rFonts w:asciiTheme="majorBidi" w:hAnsiTheme="majorBidi" w:cstheme="majorBidi"/>
                <w:b/>
                <w:color w:val="AAAAAA"/>
                <w:sz w:val="18"/>
              </w:rPr>
              <w:t>p</w:t>
            </w:r>
          </w:p>
        </w:tc>
      </w:tr>
      <w:tr w:rsidR="00D200F2" w:rsidRPr="000738E4" w14:paraId="4B9B9E7D" w14:textId="77777777" w:rsidTr="000738E4">
        <w:tc>
          <w:tcPr>
            <w:tcW w:w="2100" w:type="dxa"/>
            <w:shd w:val="clear" w:color="auto" w:fill="EBF0EB"/>
            <w:vAlign w:val="center"/>
          </w:tcPr>
          <w:p w14:paraId="4C04BF2C"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122B1E"/>
                <w:sz w:val="18"/>
              </w:rPr>
              <w:t xml:space="preserve">VJT </w:t>
            </w:r>
            <w:r>
              <w:rPr>
                <w:rFonts w:asciiTheme="majorBidi" w:hAnsiTheme="majorBidi" w:cstheme="majorBidi"/>
                <w:color w:val="555555"/>
                <w:sz w:val="18"/>
              </w:rPr>
              <w:t>(cm)</w:t>
            </w:r>
          </w:p>
        </w:tc>
        <w:tc>
          <w:tcPr>
            <w:tcW w:w="900" w:type="dxa"/>
            <w:shd w:val="clear" w:color="auto" w:fill="EBF0EB"/>
            <w:vAlign w:val="center"/>
          </w:tcPr>
          <w:p w14:paraId="6D26E78E"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333333"/>
                <w:sz w:val="18"/>
              </w:rPr>
              <w:t>38.2 ± 3.6</w:t>
            </w:r>
          </w:p>
        </w:tc>
        <w:tc>
          <w:tcPr>
            <w:tcW w:w="900" w:type="dxa"/>
            <w:shd w:val="clear" w:color="auto" w:fill="EBF0EB"/>
            <w:vAlign w:val="center"/>
          </w:tcPr>
          <w:p w14:paraId="088E13FF"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122B1E"/>
                <w:sz w:val="18"/>
              </w:rPr>
              <w:t>46.5 ± 4.1</w:t>
            </w:r>
          </w:p>
        </w:tc>
        <w:tc>
          <w:tcPr>
            <w:tcW w:w="900" w:type="dxa"/>
            <w:shd w:val="clear" w:color="auto" w:fill="EBF0EB"/>
            <w:vAlign w:val="center"/>
          </w:tcPr>
          <w:p w14:paraId="4DA1D635"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122B1E"/>
                <w:sz w:val="18"/>
              </w:rPr>
              <w:t>+8.3</w:t>
            </w:r>
          </w:p>
        </w:tc>
        <w:tc>
          <w:tcPr>
            <w:tcW w:w="900" w:type="dxa"/>
            <w:shd w:val="clear" w:color="auto" w:fill="EBF0EB"/>
            <w:vAlign w:val="center"/>
          </w:tcPr>
          <w:p w14:paraId="54A38E69"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C9952A"/>
                <w:sz w:val="18"/>
              </w:rPr>
              <w:t>2.13</w:t>
            </w:r>
          </w:p>
        </w:tc>
        <w:tc>
          <w:tcPr>
            <w:tcW w:w="960" w:type="dxa"/>
            <w:tcBorders>
              <w:left w:val="single" w:sz="4" w:space="0" w:color="CCCCCC"/>
            </w:tcBorders>
            <w:shd w:val="clear" w:color="auto" w:fill="EBF0EB"/>
            <w:vAlign w:val="center"/>
          </w:tcPr>
          <w:p w14:paraId="219B4636"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555555"/>
                <w:sz w:val="18"/>
              </w:rPr>
              <w:t>37.9 ± 3.4</w:t>
            </w:r>
          </w:p>
        </w:tc>
        <w:tc>
          <w:tcPr>
            <w:tcW w:w="900" w:type="dxa"/>
            <w:shd w:val="clear" w:color="auto" w:fill="EBF0EB"/>
            <w:vAlign w:val="center"/>
          </w:tcPr>
          <w:p w14:paraId="5CE146F4"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555555"/>
                <w:sz w:val="18"/>
              </w:rPr>
              <w:t>38.3 ± 3.5</w:t>
            </w:r>
          </w:p>
        </w:tc>
        <w:tc>
          <w:tcPr>
            <w:tcW w:w="900" w:type="dxa"/>
            <w:shd w:val="clear" w:color="auto" w:fill="EBF0EB"/>
            <w:vAlign w:val="center"/>
          </w:tcPr>
          <w:p w14:paraId="496BE777"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777777"/>
                <w:sz w:val="18"/>
              </w:rPr>
              <w:t>&gt; 0.05</w:t>
            </w:r>
          </w:p>
        </w:tc>
      </w:tr>
      <w:tr w:rsidR="00D200F2" w:rsidRPr="000738E4" w14:paraId="7F0F5E74" w14:textId="77777777" w:rsidTr="000738E4">
        <w:tc>
          <w:tcPr>
            <w:tcW w:w="2100" w:type="dxa"/>
            <w:vAlign w:val="center"/>
          </w:tcPr>
          <w:p w14:paraId="2C1C0E95"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122B1E"/>
                <w:sz w:val="18"/>
              </w:rPr>
              <w:t xml:space="preserve">SBJ </w:t>
            </w:r>
            <w:r>
              <w:rPr>
                <w:rFonts w:asciiTheme="majorBidi" w:hAnsiTheme="majorBidi" w:cstheme="majorBidi"/>
                <w:color w:val="555555"/>
                <w:sz w:val="18"/>
              </w:rPr>
              <w:t>(cm)</w:t>
            </w:r>
          </w:p>
        </w:tc>
        <w:tc>
          <w:tcPr>
            <w:tcW w:w="900" w:type="dxa"/>
            <w:vAlign w:val="center"/>
          </w:tcPr>
          <w:p w14:paraId="4B68368E"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333333"/>
                <w:sz w:val="18"/>
              </w:rPr>
              <w:t>172.4 ± 12.3</w:t>
            </w:r>
          </w:p>
        </w:tc>
        <w:tc>
          <w:tcPr>
            <w:tcW w:w="900" w:type="dxa"/>
            <w:vAlign w:val="center"/>
          </w:tcPr>
          <w:p w14:paraId="7801C9E9"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122B1E"/>
                <w:sz w:val="18"/>
              </w:rPr>
              <w:t>189.7 ± 11.8</w:t>
            </w:r>
          </w:p>
        </w:tc>
        <w:tc>
          <w:tcPr>
            <w:tcW w:w="900" w:type="dxa"/>
            <w:vAlign w:val="center"/>
          </w:tcPr>
          <w:p w14:paraId="77ABF829"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122B1E"/>
                <w:sz w:val="18"/>
              </w:rPr>
              <w:t>+17.3</w:t>
            </w:r>
          </w:p>
        </w:tc>
        <w:tc>
          <w:tcPr>
            <w:tcW w:w="900" w:type="dxa"/>
            <w:vAlign w:val="center"/>
          </w:tcPr>
          <w:p w14:paraId="1B5C3B4D"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C9952A"/>
                <w:sz w:val="18"/>
              </w:rPr>
              <w:t>1.44</w:t>
            </w:r>
          </w:p>
        </w:tc>
        <w:tc>
          <w:tcPr>
            <w:tcW w:w="960" w:type="dxa"/>
            <w:tcBorders>
              <w:left w:val="single" w:sz="4" w:space="0" w:color="CCCCCC"/>
            </w:tcBorders>
            <w:vAlign w:val="center"/>
          </w:tcPr>
          <w:p w14:paraId="3C5BBCEF"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555555"/>
                <w:sz w:val="18"/>
              </w:rPr>
              <w:t>171.8 ± 11.9</w:t>
            </w:r>
          </w:p>
        </w:tc>
        <w:tc>
          <w:tcPr>
            <w:tcW w:w="900" w:type="dxa"/>
            <w:vAlign w:val="center"/>
          </w:tcPr>
          <w:p w14:paraId="266BED00"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555555"/>
                <w:sz w:val="18"/>
              </w:rPr>
              <w:t>172.6 ± 12.1</w:t>
            </w:r>
          </w:p>
        </w:tc>
        <w:tc>
          <w:tcPr>
            <w:tcW w:w="900" w:type="dxa"/>
            <w:vAlign w:val="center"/>
          </w:tcPr>
          <w:p w14:paraId="156FDA1E"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777777"/>
                <w:sz w:val="18"/>
              </w:rPr>
              <w:t>&gt; 0.05</w:t>
            </w:r>
          </w:p>
        </w:tc>
      </w:tr>
      <w:tr w:rsidR="00D200F2" w:rsidRPr="000738E4" w14:paraId="0E96EAEB" w14:textId="77777777" w:rsidTr="000738E4">
        <w:tc>
          <w:tcPr>
            <w:tcW w:w="2100" w:type="dxa"/>
            <w:shd w:val="clear" w:color="auto" w:fill="EBF0EB"/>
            <w:vAlign w:val="center"/>
          </w:tcPr>
          <w:p w14:paraId="0BA772C4"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122B1E"/>
                <w:sz w:val="18"/>
              </w:rPr>
              <w:t xml:space="preserve">IAT </w:t>
            </w:r>
            <w:r>
              <w:rPr>
                <w:rFonts w:asciiTheme="majorBidi" w:hAnsiTheme="majorBidi" w:cstheme="majorBidi"/>
                <w:color w:val="555555"/>
                <w:sz w:val="18"/>
              </w:rPr>
              <w:t>(s)</w:t>
            </w:r>
          </w:p>
        </w:tc>
        <w:tc>
          <w:tcPr>
            <w:tcW w:w="900" w:type="dxa"/>
            <w:shd w:val="clear" w:color="auto" w:fill="EBF0EB"/>
            <w:vAlign w:val="center"/>
          </w:tcPr>
          <w:p w14:paraId="31EA8EF6"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333333"/>
                <w:sz w:val="18"/>
              </w:rPr>
              <w:t>16.8 ± 0.9</w:t>
            </w:r>
          </w:p>
        </w:tc>
        <w:tc>
          <w:tcPr>
            <w:tcW w:w="900" w:type="dxa"/>
            <w:shd w:val="clear" w:color="auto" w:fill="EBF0EB"/>
            <w:vAlign w:val="center"/>
          </w:tcPr>
          <w:p w14:paraId="0E7B5155"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122B1E"/>
                <w:sz w:val="18"/>
              </w:rPr>
              <w:t>15.3 ± 0.7</w:t>
            </w:r>
          </w:p>
        </w:tc>
        <w:tc>
          <w:tcPr>
            <w:tcW w:w="900" w:type="dxa"/>
            <w:shd w:val="clear" w:color="auto" w:fill="EBF0EB"/>
            <w:vAlign w:val="center"/>
          </w:tcPr>
          <w:p w14:paraId="2BEBD4D0"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122B1E"/>
                <w:sz w:val="18"/>
              </w:rPr>
              <w:t>−1.5</w:t>
            </w:r>
          </w:p>
        </w:tc>
        <w:tc>
          <w:tcPr>
            <w:tcW w:w="900" w:type="dxa"/>
            <w:shd w:val="clear" w:color="auto" w:fill="EBF0EB"/>
            <w:vAlign w:val="center"/>
          </w:tcPr>
          <w:p w14:paraId="11500C7A"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C9952A"/>
                <w:sz w:val="18"/>
              </w:rPr>
              <w:t>1.88</w:t>
            </w:r>
          </w:p>
        </w:tc>
        <w:tc>
          <w:tcPr>
            <w:tcW w:w="960" w:type="dxa"/>
            <w:tcBorders>
              <w:left w:val="single" w:sz="4" w:space="0" w:color="CCCCCC"/>
            </w:tcBorders>
            <w:shd w:val="clear" w:color="auto" w:fill="EBF0EB"/>
            <w:vAlign w:val="center"/>
          </w:tcPr>
          <w:p w14:paraId="46FB60CA"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555555"/>
                <w:sz w:val="18"/>
              </w:rPr>
              <w:t>16.9 ± 0.8</w:t>
            </w:r>
          </w:p>
        </w:tc>
        <w:tc>
          <w:tcPr>
            <w:tcW w:w="900" w:type="dxa"/>
            <w:shd w:val="clear" w:color="auto" w:fill="EBF0EB"/>
            <w:vAlign w:val="center"/>
          </w:tcPr>
          <w:p w14:paraId="34BCEF43"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555555"/>
                <w:sz w:val="18"/>
              </w:rPr>
              <w:t>16.7 ± 0.8</w:t>
            </w:r>
          </w:p>
        </w:tc>
        <w:tc>
          <w:tcPr>
            <w:tcW w:w="900" w:type="dxa"/>
            <w:shd w:val="clear" w:color="auto" w:fill="EBF0EB"/>
            <w:vAlign w:val="center"/>
          </w:tcPr>
          <w:p w14:paraId="4F33BAED"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777777"/>
                <w:sz w:val="18"/>
              </w:rPr>
              <w:t>&gt; 0.05</w:t>
            </w:r>
          </w:p>
        </w:tc>
      </w:tr>
      <w:tr w:rsidR="00D200F2" w:rsidRPr="000738E4" w14:paraId="406388F5" w14:textId="77777777" w:rsidTr="000738E4">
        <w:tc>
          <w:tcPr>
            <w:tcW w:w="2100" w:type="dxa"/>
            <w:vAlign w:val="center"/>
          </w:tcPr>
          <w:p w14:paraId="4EBF0486"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122B1E"/>
                <w:sz w:val="18"/>
              </w:rPr>
              <w:t xml:space="preserve">5-10-5 Shuttle </w:t>
            </w:r>
            <w:r>
              <w:rPr>
                <w:rFonts w:asciiTheme="majorBidi" w:hAnsiTheme="majorBidi" w:cstheme="majorBidi"/>
                <w:color w:val="555555"/>
                <w:sz w:val="18"/>
              </w:rPr>
              <w:t>(s)</w:t>
            </w:r>
          </w:p>
        </w:tc>
        <w:tc>
          <w:tcPr>
            <w:tcW w:w="900" w:type="dxa"/>
            <w:vAlign w:val="center"/>
          </w:tcPr>
          <w:p w14:paraId="111D69A4"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333333"/>
                <w:sz w:val="18"/>
              </w:rPr>
              <w:t>4.92 ± 0.21</w:t>
            </w:r>
          </w:p>
        </w:tc>
        <w:tc>
          <w:tcPr>
            <w:tcW w:w="900" w:type="dxa"/>
            <w:vAlign w:val="center"/>
          </w:tcPr>
          <w:p w14:paraId="306A6DB4"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122B1E"/>
                <w:sz w:val="18"/>
              </w:rPr>
              <w:t>4.56 ± 0.18</w:t>
            </w:r>
          </w:p>
        </w:tc>
        <w:tc>
          <w:tcPr>
            <w:tcW w:w="900" w:type="dxa"/>
            <w:vAlign w:val="center"/>
          </w:tcPr>
          <w:p w14:paraId="7DFF63E9"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122B1E"/>
                <w:sz w:val="18"/>
              </w:rPr>
              <w:t>−0.36</w:t>
            </w:r>
          </w:p>
        </w:tc>
        <w:tc>
          <w:tcPr>
            <w:tcW w:w="900" w:type="dxa"/>
            <w:vAlign w:val="center"/>
          </w:tcPr>
          <w:p w14:paraId="49A8D376"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b/>
                <w:color w:val="C9952A"/>
                <w:sz w:val="18"/>
              </w:rPr>
              <w:t>1.85</w:t>
            </w:r>
          </w:p>
        </w:tc>
        <w:tc>
          <w:tcPr>
            <w:tcW w:w="960" w:type="dxa"/>
            <w:tcBorders>
              <w:left w:val="single" w:sz="4" w:space="0" w:color="CCCCCC"/>
            </w:tcBorders>
            <w:vAlign w:val="center"/>
          </w:tcPr>
          <w:p w14:paraId="6CC52C68"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555555"/>
                <w:sz w:val="18"/>
              </w:rPr>
              <w:t>4.95 ± 0.19</w:t>
            </w:r>
          </w:p>
        </w:tc>
        <w:tc>
          <w:tcPr>
            <w:tcW w:w="900" w:type="dxa"/>
            <w:vAlign w:val="center"/>
          </w:tcPr>
          <w:p w14:paraId="63458A1D"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555555"/>
                <w:sz w:val="18"/>
              </w:rPr>
              <w:t>4.93 ± 0.20</w:t>
            </w:r>
          </w:p>
        </w:tc>
        <w:tc>
          <w:tcPr>
            <w:tcW w:w="900" w:type="dxa"/>
            <w:vAlign w:val="center"/>
          </w:tcPr>
          <w:p w14:paraId="7DD06FF2" w14:textId="77777777" w:rsidR="00D200F2" w:rsidRPr="000738E4" w:rsidRDefault="00D200F2" w:rsidP="000738E4">
            <w:pPr>
              <w:spacing w:before="60" w:after="60"/>
              <w:jc w:val="center"/>
              <w:rPr>
                <w:rFonts w:asciiTheme="majorBidi" w:hAnsiTheme="majorBidi" w:cstheme="majorBidi"/>
                <w:sz w:val="18"/>
              </w:rPr>
            </w:pPr>
            <w:r>
              <w:rPr>
                <w:rFonts w:asciiTheme="majorBidi" w:hAnsiTheme="majorBidi" w:cstheme="majorBidi"/>
                <w:color w:val="777777"/>
                <w:sz w:val="18"/>
              </w:rPr>
              <w:t>&gt; 0.05</w:t>
            </w:r>
          </w:p>
        </w:tc>
      </w:tr>
    </w:tbl>
    <w:p w14:paraId="4589E42A" w14:textId="77777777" w:rsidR="00D200F2" w:rsidRPr="00227B42" w:rsidRDefault="00D200F2" w:rsidP="00D200F2">
      <w:pPr>
        <w:bidi w:val="0"/>
        <w:spacing w:before="60" w:after="60"/>
        <w:rPr>
          <w:rFonts w:ascii="Sylfaen" w:hAnsi="Sylfaen"/>
        </w:rPr>
      </w:pPr>
      <w:r>
        <w:rPr>
          <w:rFonts w:ascii="Sylfaen" w:hAnsi="Sylfaen"/>
          <w:i/>
          <w:color w:val="555555"/>
          <w:sz w:val="16"/>
        </w:rPr>
        <w:t xml:space="preserve">Note. </w:t>
      </w:r>
      <w:r>
        <w:rPr>
          <w:rFonts w:ascii="Sylfaen" w:hAnsi="Sylfaen"/>
          <w:color w:val="777777"/>
          <w:sz w:val="16"/>
        </w:rPr>
        <w:t>VJT = Vertical Jump Test; SBJ = Standing Broad Jump; IAT = Illinois Agility Test; Δ = mean difference (Post − Pre); d = Cohen’s d effect size; SD = standard deviation. All PTG within-group changes: p &lt; 0.001. All CG within-group changes: p &gt; 0.05.</w:t>
      </w:r>
    </w:p>
    <w:p w14:paraId="3D4587E8" w14:textId="77777777" w:rsidR="000738E4" w:rsidRDefault="000738E4" w:rsidP="000738E4">
      <w:pPr>
        <w:bidi w:val="0"/>
        <w:spacing w:before="80" w:after="200"/>
        <w:jc w:val="center"/>
      </w:pPr>
    </w:p>
    <w:p w14:paraId="2B4DA8F6" w14:textId="77777777" w:rsidR="000738E4" w:rsidRDefault="000738E4" w:rsidP="000738E4">
      <w:pPr>
        <w:bidi w:val="0"/>
        <w:spacing w:before="80" w:after="200"/>
        <w:jc w:val="center"/>
      </w:pPr>
    </w:p>
    <w:p w14:paraId="063BB4E0" w14:textId="77777777" w:rsidR="000738E4" w:rsidRDefault="000738E4" w:rsidP="000738E4">
      <w:pPr>
        <w:bidi w:val="0"/>
        <w:spacing w:before="80" w:after="200"/>
        <w:jc w:val="center"/>
      </w:pPr>
    </w:p>
    <w:p w14:paraId="491E3CA5" w14:textId="77777777" w:rsidR="00D200F2" w:rsidRPr="00D200F2" w:rsidRDefault="00D200F2" w:rsidP="000738E4">
      <w:pPr>
        <w:bidi w:val="0"/>
        <w:spacing w:before="200" w:after="60" w:line="276" w:lineRule="auto"/>
        <w:jc w:val="center"/>
        <w:rPr>
          <w:rFonts w:asciiTheme="majorBidi" w:hAnsiTheme="majorBidi" w:cstheme="majorBidi"/>
        </w:rPr>
      </w:pPr>
      <w:r>
        <w:rPr>
          <w:rFonts w:asciiTheme="majorBidi" w:hAnsiTheme="majorBidi" w:cstheme="majorBidi"/>
          <w:b/>
          <w:color w:val="111111"/>
        </w:rPr>
        <w:lastRenderedPageBreak/>
        <w:t xml:space="preserve">Table 2. </w:t>
      </w:r>
      <w:r>
        <w:rPr>
          <w:rFonts w:asciiTheme="majorBidi" w:hAnsiTheme="majorBidi" w:cstheme="majorBidi"/>
          <w:color w:val="3A3A3A"/>
        </w:rPr>
        <w:t>Baseline participant characteristics for the PTG and CG (Mean ± SD).</w:t>
      </w:r>
    </w:p>
    <w:tbl>
      <w:tblPr>
        <w:tblW w:w="9360" w:type="dxa"/>
        <w:tblBorders>
          <w:top w:val="single" w:sz="8" w:space="0" w:color="122B1E"/>
          <w:bottom w:val="single" w:sz="8" w:space="0" w:color="122B1E"/>
          <w:insideH w:val="single" w:sz="4" w:space="0" w:color="CCCCCC"/>
        </w:tblBorders>
        <w:tblCellMar>
          <w:top w:w="80" w:type="dxa"/>
          <w:left w:w="120" w:type="dxa"/>
          <w:bottom w:w="80" w:type="dxa"/>
          <w:right w:w="120" w:type="dxa"/>
        </w:tblCellMar>
        <w:tblLook w:val="04A0" w:firstRow="1" w:lastRow="0" w:firstColumn="1" w:lastColumn="0" w:noHBand="0" w:noVBand="1"/>
      </w:tblPr>
      <w:tblGrid>
        <w:gridCol w:w="3600"/>
        <w:gridCol w:w="2880"/>
        <w:gridCol w:w="2880"/>
      </w:tblGrid>
      <w:tr w:rsidR="00D200F2" w14:paraId="4654AAB6" w14:textId="77777777" w:rsidTr="00D658BE">
        <w:trPr>
          <w:tblHeader/>
        </w:trPr>
        <w:tc>
          <w:tcPr>
            <w:tcW w:w="3600" w:type="dxa"/>
            <w:shd w:val="clear" w:color="auto" w:fill="122B1E"/>
          </w:tcPr>
          <w:p w14:paraId="28095FDB" w14:textId="77777777" w:rsidR="00D200F2" w:rsidRDefault="00D200F2" w:rsidP="00D658BE">
            <w:pPr>
              <w:spacing w:before="60" w:after="60"/>
            </w:pPr>
            <w:r>
              <w:rPr>
                <w:b/>
                <w:color w:val="FFFFFF"/>
                <w:sz w:val="18"/>
              </w:rPr>
              <w:t>Characteristic</w:t>
            </w:r>
          </w:p>
        </w:tc>
        <w:tc>
          <w:tcPr>
            <w:tcW w:w="2880" w:type="dxa"/>
            <w:shd w:val="clear" w:color="auto" w:fill="122B1E"/>
          </w:tcPr>
          <w:p w14:paraId="0AAF2D34" w14:textId="77777777" w:rsidR="00D200F2" w:rsidRDefault="00D200F2" w:rsidP="00D658BE">
            <w:pPr>
              <w:spacing w:before="60" w:after="60"/>
              <w:jc w:val="center"/>
            </w:pPr>
            <w:r>
              <w:rPr>
                <w:b/>
                <w:color w:val="C9952A"/>
                <w:sz w:val="18"/>
              </w:rPr>
              <w:t>PTG (n = 16)</w:t>
            </w:r>
          </w:p>
        </w:tc>
        <w:tc>
          <w:tcPr>
            <w:tcW w:w="2880" w:type="dxa"/>
            <w:tcBorders>
              <w:left w:val="single" w:sz="6" w:space="0" w:color="C9952A"/>
            </w:tcBorders>
            <w:shd w:val="clear" w:color="auto" w:fill="122B1E"/>
          </w:tcPr>
          <w:p w14:paraId="7D65D2CB" w14:textId="77777777" w:rsidR="00D200F2" w:rsidRDefault="00D200F2" w:rsidP="00D658BE">
            <w:pPr>
              <w:spacing w:before="60" w:after="60"/>
              <w:jc w:val="center"/>
            </w:pPr>
            <w:r>
              <w:rPr>
                <w:b/>
                <w:color w:val="AAAAAA"/>
                <w:sz w:val="18"/>
              </w:rPr>
              <w:t>CG (n = 16)</w:t>
            </w:r>
          </w:p>
        </w:tc>
      </w:tr>
      <w:tr w:rsidR="00D200F2" w14:paraId="419FBE03" w14:textId="77777777" w:rsidTr="00D658BE">
        <w:tc>
          <w:tcPr>
            <w:tcW w:w="3600" w:type="dxa"/>
            <w:shd w:val="clear" w:color="auto" w:fill="EBF0EB"/>
          </w:tcPr>
          <w:p w14:paraId="3925D06C" w14:textId="77777777" w:rsidR="00D200F2" w:rsidRDefault="00D200F2" w:rsidP="00D658BE">
            <w:pPr>
              <w:spacing w:before="60" w:after="60"/>
            </w:pPr>
            <w:r>
              <w:rPr>
                <w:color w:val="333333"/>
                <w:sz w:val="18"/>
              </w:rPr>
              <w:t>Age (years)</w:t>
            </w:r>
          </w:p>
        </w:tc>
        <w:tc>
          <w:tcPr>
            <w:tcW w:w="2880" w:type="dxa"/>
            <w:shd w:val="clear" w:color="auto" w:fill="EBF0EB"/>
          </w:tcPr>
          <w:p w14:paraId="7AB9A3EF" w14:textId="77777777" w:rsidR="00D200F2" w:rsidRDefault="00D200F2" w:rsidP="00D658BE">
            <w:pPr>
              <w:spacing w:before="60" w:after="60"/>
              <w:jc w:val="center"/>
            </w:pPr>
            <w:r>
              <w:rPr>
                <w:color w:val="333333"/>
                <w:sz w:val="18"/>
              </w:rPr>
              <w:t>16.3 ± 1.1</w:t>
            </w:r>
          </w:p>
        </w:tc>
        <w:tc>
          <w:tcPr>
            <w:tcW w:w="2880" w:type="dxa"/>
            <w:tcBorders>
              <w:left w:val="single" w:sz="4" w:space="0" w:color="CCCCCC"/>
            </w:tcBorders>
            <w:shd w:val="clear" w:color="auto" w:fill="EBF0EB"/>
          </w:tcPr>
          <w:p w14:paraId="3ED30CD3" w14:textId="77777777" w:rsidR="00D200F2" w:rsidRDefault="00D200F2" w:rsidP="00D658BE">
            <w:pPr>
              <w:spacing w:before="60" w:after="60"/>
              <w:jc w:val="center"/>
            </w:pPr>
            <w:r>
              <w:rPr>
                <w:color w:val="555555"/>
                <w:sz w:val="18"/>
              </w:rPr>
              <w:t>16.5 ± 1.3</w:t>
            </w:r>
          </w:p>
        </w:tc>
      </w:tr>
      <w:tr w:rsidR="00D200F2" w14:paraId="5C9318DD" w14:textId="77777777" w:rsidTr="00D658BE">
        <w:tc>
          <w:tcPr>
            <w:tcW w:w="3600" w:type="dxa"/>
          </w:tcPr>
          <w:p w14:paraId="28495E3F" w14:textId="77777777" w:rsidR="00D200F2" w:rsidRDefault="00D200F2" w:rsidP="00D658BE">
            <w:pPr>
              <w:spacing w:before="60" w:after="60"/>
            </w:pPr>
            <w:r>
              <w:rPr>
                <w:color w:val="333333"/>
                <w:sz w:val="18"/>
              </w:rPr>
              <w:t>Height (cm)</w:t>
            </w:r>
          </w:p>
        </w:tc>
        <w:tc>
          <w:tcPr>
            <w:tcW w:w="2880" w:type="dxa"/>
          </w:tcPr>
          <w:p w14:paraId="21B1529B" w14:textId="77777777" w:rsidR="00D200F2" w:rsidRDefault="00D200F2" w:rsidP="00D658BE">
            <w:pPr>
              <w:spacing w:before="60" w:after="60"/>
              <w:jc w:val="center"/>
            </w:pPr>
            <w:r>
              <w:rPr>
                <w:color w:val="333333"/>
                <w:sz w:val="18"/>
              </w:rPr>
              <w:t>175.2 ± 5.1</w:t>
            </w:r>
          </w:p>
        </w:tc>
        <w:tc>
          <w:tcPr>
            <w:tcW w:w="2880" w:type="dxa"/>
            <w:tcBorders>
              <w:left w:val="single" w:sz="4" w:space="0" w:color="CCCCCC"/>
            </w:tcBorders>
          </w:tcPr>
          <w:p w14:paraId="2ABAD53C" w14:textId="77777777" w:rsidR="00D200F2" w:rsidRDefault="00D200F2" w:rsidP="00D658BE">
            <w:pPr>
              <w:spacing w:before="60" w:after="60"/>
              <w:jc w:val="center"/>
            </w:pPr>
            <w:r>
              <w:rPr>
                <w:color w:val="555555"/>
                <w:sz w:val="18"/>
              </w:rPr>
              <w:t>174.1 ± 5.5</w:t>
            </w:r>
          </w:p>
        </w:tc>
      </w:tr>
      <w:tr w:rsidR="00D200F2" w14:paraId="23CA6C52" w14:textId="77777777" w:rsidTr="00D658BE">
        <w:tc>
          <w:tcPr>
            <w:tcW w:w="3600" w:type="dxa"/>
            <w:shd w:val="clear" w:color="auto" w:fill="EBF0EB"/>
          </w:tcPr>
          <w:p w14:paraId="122DCDB9" w14:textId="77777777" w:rsidR="00D200F2" w:rsidRDefault="00D200F2" w:rsidP="00D658BE">
            <w:pPr>
              <w:spacing w:before="60" w:after="60"/>
            </w:pPr>
            <w:r>
              <w:rPr>
                <w:color w:val="333333"/>
                <w:sz w:val="18"/>
              </w:rPr>
              <w:t>Body mass (kg)</w:t>
            </w:r>
          </w:p>
        </w:tc>
        <w:tc>
          <w:tcPr>
            <w:tcW w:w="2880" w:type="dxa"/>
            <w:shd w:val="clear" w:color="auto" w:fill="EBF0EB"/>
          </w:tcPr>
          <w:p w14:paraId="0239FA38" w14:textId="77777777" w:rsidR="00D200F2" w:rsidRDefault="00D200F2" w:rsidP="00D658BE">
            <w:pPr>
              <w:spacing w:before="60" w:after="60"/>
              <w:jc w:val="center"/>
            </w:pPr>
            <w:r>
              <w:rPr>
                <w:color w:val="333333"/>
                <w:sz w:val="18"/>
              </w:rPr>
              <w:t>67.1 ± 5.6</w:t>
            </w:r>
          </w:p>
        </w:tc>
        <w:tc>
          <w:tcPr>
            <w:tcW w:w="2880" w:type="dxa"/>
            <w:tcBorders>
              <w:left w:val="single" w:sz="4" w:space="0" w:color="CCCCCC"/>
            </w:tcBorders>
            <w:shd w:val="clear" w:color="auto" w:fill="EBF0EB"/>
          </w:tcPr>
          <w:p w14:paraId="0540D8D1" w14:textId="77777777" w:rsidR="00D200F2" w:rsidRDefault="00D200F2" w:rsidP="00D658BE">
            <w:pPr>
              <w:spacing w:before="60" w:after="60"/>
              <w:jc w:val="center"/>
            </w:pPr>
            <w:r>
              <w:rPr>
                <w:color w:val="555555"/>
                <w:sz w:val="18"/>
              </w:rPr>
              <w:t>67.5 ± 6.0</w:t>
            </w:r>
          </w:p>
        </w:tc>
      </w:tr>
      <w:tr w:rsidR="00D200F2" w14:paraId="241CC215" w14:textId="77777777" w:rsidTr="00D658BE">
        <w:tc>
          <w:tcPr>
            <w:tcW w:w="3600" w:type="dxa"/>
          </w:tcPr>
          <w:p w14:paraId="27AA5E92" w14:textId="77777777" w:rsidR="00D200F2" w:rsidRDefault="00D200F2" w:rsidP="00D658BE">
            <w:pPr>
              <w:spacing w:before="60" w:after="60"/>
            </w:pPr>
            <w:r>
              <w:rPr>
                <w:color w:val="333333"/>
                <w:sz w:val="18"/>
              </w:rPr>
              <w:t>Training experience (years)</w:t>
            </w:r>
          </w:p>
        </w:tc>
        <w:tc>
          <w:tcPr>
            <w:tcW w:w="2880" w:type="dxa"/>
          </w:tcPr>
          <w:p w14:paraId="4DFADAFF" w14:textId="77777777" w:rsidR="00D200F2" w:rsidRDefault="00D200F2" w:rsidP="00D658BE">
            <w:pPr>
              <w:spacing w:before="60" w:after="60"/>
              <w:jc w:val="center"/>
            </w:pPr>
            <w:r>
              <w:rPr>
                <w:color w:val="333333"/>
                <w:sz w:val="18"/>
              </w:rPr>
              <w:t>3.4 ± 0.8</w:t>
            </w:r>
          </w:p>
        </w:tc>
        <w:tc>
          <w:tcPr>
            <w:tcW w:w="2880" w:type="dxa"/>
            <w:tcBorders>
              <w:left w:val="single" w:sz="4" w:space="0" w:color="CCCCCC"/>
            </w:tcBorders>
          </w:tcPr>
          <w:p w14:paraId="2BB04390" w14:textId="77777777" w:rsidR="00D200F2" w:rsidRDefault="00D200F2" w:rsidP="00D658BE">
            <w:pPr>
              <w:spacing w:before="60" w:after="60"/>
              <w:jc w:val="center"/>
            </w:pPr>
            <w:r>
              <w:rPr>
                <w:color w:val="555555"/>
                <w:sz w:val="18"/>
              </w:rPr>
              <w:t>3.6 ± 0.9</w:t>
            </w:r>
          </w:p>
        </w:tc>
      </w:tr>
    </w:tbl>
    <w:p w14:paraId="7E4E6024" w14:textId="77777777" w:rsidR="00D200F2" w:rsidRPr="00D200F2" w:rsidRDefault="00D200F2" w:rsidP="00D200F2">
      <w:pPr>
        <w:bidi w:val="0"/>
        <w:spacing w:before="60" w:after="160"/>
        <w:rPr>
          <w:rFonts w:ascii="Sylfaen" w:hAnsi="Sylfaen"/>
        </w:rPr>
      </w:pPr>
      <w:r>
        <w:rPr>
          <w:rFonts w:ascii="Sylfaen" w:hAnsi="Sylfaen"/>
          <w:i/>
          <w:color w:val="555555"/>
          <w:sz w:val="16"/>
        </w:rPr>
        <w:t xml:space="preserve">Note. </w:t>
      </w:r>
      <w:r>
        <w:rPr>
          <w:rFonts w:ascii="Sylfaen" w:hAnsi="Sylfaen"/>
          <w:color w:val="777777"/>
          <w:sz w:val="16"/>
        </w:rPr>
        <w:t>No significant between-group differences were observed at baseline for any variable (independent samples t-test, p &gt; 0.05 for all). PTG = Plyometric Training Group; CG = Control Group; SD = standard deviation.</w:t>
      </w:r>
    </w:p>
    <w:p w14:paraId="1FCB2DFB" w14:textId="77777777" w:rsidR="00D200F2" w:rsidRDefault="00D200F2" w:rsidP="00D200F2">
      <w:pPr>
        <w:bidi w:val="0"/>
        <w:spacing w:before="80" w:after="80"/>
        <w:jc w:val="center"/>
      </w:pPr>
      <w:r>
        <w:rPr>
          <w:noProof/>
        </w:rPr>
        <w:drawing>
          <wp:inline distT="0" distB="0" distL="114300" distR="114300" wp14:anchorId="50AFB50C" wp14:editId="7FC17668">
            <wp:extent cx="6300000" cy="2591726"/>
            <wp:effectExtent l="0" t="0" r="0" b="0"/>
            <wp:docPr id="100" name="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figure1.jpg"/>
                    <pic:cNvPicPr>
                      <a:picLocks noChangeAspect="1" noChangeArrowheads="1"/>
                    </pic:cNvPicPr>
                  </pic:nvPicPr>
                  <pic:blipFill>
                    <a:blip r:embed="rId11"/>
                    <a:stretch>
                      <a:fillRect/>
                    </a:stretch>
                  </pic:blipFill>
                  <pic:spPr bwMode="auto">
                    <a:xfrm>
                      <a:off x="0" y="0"/>
                      <a:ext cx="6300000" cy="2591726"/>
                    </a:xfrm>
                    <a:prstGeom prst="rect">
                      <a:avLst/>
                    </a:prstGeom>
                    <a:noFill/>
                  </pic:spPr>
                </pic:pic>
              </a:graphicData>
            </a:graphic>
          </wp:inline>
        </w:drawing>
      </w:r>
    </w:p>
    <w:p w14:paraId="2C1A9AA8" w14:textId="42588FA8" w:rsidR="000738E4" w:rsidRPr="000738E4" w:rsidRDefault="000738E4" w:rsidP="00227B42">
      <w:pPr>
        <w:bidi w:val="0"/>
        <w:spacing w:before="80" w:after="200" w:line="276" w:lineRule="auto"/>
        <w:jc w:val="center"/>
      </w:pPr>
      <w:r>
        <w:rPr>
          <w:b/>
          <w:color w:val="111111"/>
          <w:sz w:val="19"/>
        </w:rPr>
        <w:t xml:space="preserve">Figure 1. </w:t>
      </w:r>
      <w:r>
        <w:rPr>
          <w:color w:val="444444"/>
          <w:sz w:val="19"/>
        </w:rPr>
        <w:t>Pre- and post-intervention mean scores (± SD) for each performance test in the Plyometric Training Group (PTG) and Control Group (CG). *** p &lt; 0.001 (within-group change, paired t-test); ns = not significant; PTG = Plyometric Training Group; CG = Control Group.</w:t>
      </w:r>
    </w:p>
    <w:p w14:paraId="265548A4" w14:textId="7C217F39" w:rsidR="0059311B" w:rsidRPr="00F15001" w:rsidRDefault="00911CBF" w:rsidP="000738E4">
      <w:pPr>
        <w:pBdr>
          <w:bottom w:val="single" w:sz="6" w:space="2" w:color="C9952A"/>
        </w:pBdr>
        <w:bidi w:val="0"/>
        <w:spacing w:before="280" w:after="100"/>
        <w:rPr>
          <w:rFonts w:asciiTheme="majorBidi" w:hAnsiTheme="majorBidi" w:cstheme="majorBidi"/>
        </w:rPr>
      </w:pPr>
      <w:r>
        <w:rPr>
          <w:rFonts w:asciiTheme="majorBidi" w:eastAsia="Georgia" w:hAnsiTheme="majorBidi" w:cstheme="majorBidi"/>
          <w:b/>
          <w:bCs/>
          <w:color w:val="111111"/>
          <w:sz w:val="26"/>
          <w:szCs w:val="26"/>
        </w:rPr>
        <w:t>4. Discussion</w:t>
      </w:r>
    </w:p>
    <w:p w14:paraId="498BA360" w14:textId="52D03B32" w:rsidR="0059311B" w:rsidRPr="00D55734" w:rsidRDefault="00092ACF" w:rsidP="00F15001">
      <w:pPr>
        <w:pBdr>
          <w:left w:val="dashed" w:sz="8" w:space="4" w:color="AAAAAA"/>
        </w:pBdr>
        <w:shd w:val="clear" w:color="auto" w:fill="FAFAFA"/>
        <w:bidi w:val="0"/>
        <w:spacing w:before="80" w:after="80"/>
        <w:jc w:val="both"/>
        <w:rPr>
          <w:rFonts w:asciiTheme="majorBidi" w:hAnsiTheme="majorBidi" w:cstheme="majorBidi"/>
          <w:sz w:val="24"/>
          <w:szCs w:val="24"/>
        </w:rPr>
      </w:pPr>
      <w:r>
        <w:rPr>
          <w:rFonts w:asciiTheme="majorBidi" w:hAnsiTheme="majorBidi" w:cstheme="majorBidi"/>
          <w:i/>
          <w:iCs/>
          <w:sz w:val="24"/>
          <w:szCs w:val="24"/>
        </w:rPr>
        <w:t>The primary finding of this study was that an eight-week plyometric training program, integrated within standard football training, produced large and statistically significant improvements in explosive power and agility in male youth football players, while no meaningful changes were observed in the control group. These results support the hypothesis that structured plyometric conditioning offers a meaningful supplement to conventional football practice for enhancing key physical performance attributes in adolescent players The magnitude of improvement in vertical jump performance (Cohen’s d = 2.13) observed in the PTG is consistent with, and somewhat exceeds, effect sizes reported in prior meta-analyses of plyometric interventions in youth athletes (Ramirez-Campillo et al., 2015; Meylan &amp; Malatesta, 2009). This may be partly attributable to the relatively untrained status of the participants at baseline, which is known to amplify training-induced adaptations (Lloyd et al., 2012). The improvements in agility, as indexed by the IAT (d = 1.88) and the 5-10-5 shuttle (d = 1.85), are also substantial and align with evidence that plyometric exercises improve reactive neuromuscular control through enhanced muscle spindle sensitivity and rate of force development (Markovic &amp; Mikulic, 2010).</w:t>
      </w:r>
    </w:p>
    <w:p w14:paraId="0D077691" w14:textId="77777777" w:rsidR="0059311B" w:rsidRPr="00D55734" w:rsidRDefault="00911CBF" w:rsidP="00F15001">
      <w:pPr>
        <w:pBdr>
          <w:left w:val="dashed" w:sz="8" w:space="4" w:color="AAAAAA"/>
        </w:pBdr>
        <w:shd w:val="clear" w:color="auto" w:fill="FAFAFA"/>
        <w:bidi w:val="0"/>
        <w:spacing w:before="80" w:after="80"/>
        <w:jc w:val="both"/>
        <w:rPr>
          <w:rFonts w:asciiTheme="majorBidi" w:hAnsiTheme="majorBidi" w:cstheme="majorBidi"/>
          <w:sz w:val="28"/>
          <w:szCs w:val="28"/>
        </w:rPr>
      </w:pPr>
      <w:r>
        <w:rPr>
          <w:rFonts w:asciiTheme="majorBidi" w:hAnsiTheme="majorBidi" w:cstheme="majorBidi"/>
          <w:i/>
          <w:iCs/>
          <w:color w:val="AAAAAA"/>
          <w:sz w:val="19"/>
          <w:szCs w:val="19"/>
        </w:rPr>
        <w:t xml:space="preserve">  </w:t>
      </w:r>
      <w:r>
        <w:rPr>
          <w:rFonts w:asciiTheme="majorBidi" w:hAnsiTheme="majorBidi" w:cstheme="majorBidi"/>
          <w:i/>
          <w:iCs/>
          <w:sz w:val="24"/>
          <w:szCs w:val="24"/>
        </w:rPr>
        <w:t>Our findings are broadly in agreement with Meylan and Malatesta (2009), who reported significant gains in jump height and sprint performance following a six-week in-season plyometric program in young male football players. Similarly, Ramírez-Campillo et al. (2015) demonstrated that bi-weekly plyometric training over ten weeks produced meaningful improvements in explosive power and agility in Chilean youth footballers. The present study extends this evidence by demonstrating comparably large effect sizes over a slightly shorter intervention duration (eight weeks) and with a more rigorous randomized controlled design, addressing a methodological limitation noted in several earlier studies. Notably, the absence of any significant change in the CG across all measures confirms that the observed improvements were attributable to the plyometric intervention rather than natural maturation or seasonal training effects.</w:t>
      </w:r>
    </w:p>
    <w:p w14:paraId="725C403C" w14:textId="77777777" w:rsidR="0059311B" w:rsidRPr="00D55734" w:rsidRDefault="00911CBF" w:rsidP="00F15001">
      <w:pPr>
        <w:pBdr>
          <w:left w:val="dashed" w:sz="8" w:space="4" w:color="AAAAAA"/>
        </w:pBdr>
        <w:shd w:val="clear" w:color="auto" w:fill="FAFAFA"/>
        <w:bidi w:val="0"/>
        <w:spacing w:before="80" w:after="80"/>
        <w:jc w:val="both"/>
        <w:rPr>
          <w:rFonts w:asciiTheme="majorBidi" w:hAnsiTheme="majorBidi" w:cstheme="majorBidi"/>
          <w:sz w:val="28"/>
          <w:szCs w:val="28"/>
        </w:rPr>
      </w:pPr>
      <w:r>
        <w:rPr>
          <w:rFonts w:asciiTheme="majorBidi" w:hAnsiTheme="majorBidi" w:cstheme="majorBidi"/>
          <w:i/>
          <w:iCs/>
          <w:sz w:val="24"/>
          <w:szCs w:val="24"/>
        </w:rPr>
        <w:lastRenderedPageBreak/>
        <w:t xml:space="preserve">  From a practical standpoint, the protocol used in the present study—three weekly sessions of 20–30 minutes of plyometric exercises embedded within regular football training—is both time-efficient and feasible within typical academy training schedules. Coaches and sport scientists working with youth football populations can implement similar programs without significantly disrupting established technical and tactical training commitments. The progressive nature of the program, which increased in intensity over the eight weeks, also reflects best-practice guidelines for safe plyometric loading in adolescent athletes (Lloyd et al., 2012).</w:t>
      </w:r>
    </w:p>
    <w:p w14:paraId="58193A67" w14:textId="77777777" w:rsidR="0059311B" w:rsidRPr="00D55734" w:rsidRDefault="00911CBF" w:rsidP="00F15001">
      <w:pPr>
        <w:pBdr>
          <w:left w:val="dashed" w:sz="8" w:space="4" w:color="AAAAAA"/>
        </w:pBdr>
        <w:shd w:val="clear" w:color="auto" w:fill="FAFAFA"/>
        <w:bidi w:val="0"/>
        <w:spacing w:before="80" w:after="80"/>
        <w:jc w:val="both"/>
        <w:rPr>
          <w:rFonts w:asciiTheme="majorBidi" w:hAnsiTheme="majorBidi" w:cstheme="majorBidi"/>
          <w:sz w:val="28"/>
          <w:szCs w:val="28"/>
        </w:rPr>
      </w:pPr>
      <w:r>
        <w:rPr>
          <w:rFonts w:asciiTheme="majorBidi" w:hAnsiTheme="majorBidi" w:cstheme="majorBidi"/>
          <w:i/>
          <w:iCs/>
          <w:sz w:val="24"/>
          <w:szCs w:val="24"/>
        </w:rPr>
        <w:t xml:space="preserve">  Several limitations of the present study should be acknowledged. First, the sample was drawn exclusively from male players in Baghdad, which limits the generalizability of findings to female athletes or players from other cultural or competitive contexts. Second, the study did not include measures of reactive agility, which incorporates a decision-making component and may be more representative of match-play demands. Third, long-term retention of training adaptations was not assessed, and future research should examine whether gains are maintained across a full competitive season. Finally, the relatively small sample size (n = 16 per group) may have limited statistical power for detecting smaller effect sizes.</w:t>
      </w:r>
    </w:p>
    <w:p w14:paraId="5AE25DF4" w14:textId="0E1CF931" w:rsidR="0059311B" w:rsidRPr="00F15001" w:rsidRDefault="00911CBF" w:rsidP="00F15001">
      <w:pPr>
        <w:pBdr>
          <w:bottom w:val="single" w:sz="6" w:space="2" w:color="C9952A"/>
        </w:pBdr>
        <w:bidi w:val="0"/>
        <w:spacing w:before="280" w:after="100"/>
        <w:rPr>
          <w:rFonts w:asciiTheme="majorBidi" w:hAnsiTheme="majorBidi" w:cstheme="majorBidi"/>
        </w:rPr>
      </w:pPr>
      <w:r>
        <w:rPr>
          <w:rFonts w:asciiTheme="majorBidi" w:eastAsia="Georgia" w:hAnsiTheme="majorBidi" w:cstheme="majorBidi"/>
          <w:b/>
          <w:bCs/>
          <w:color w:val="111111"/>
          <w:sz w:val="26"/>
          <w:szCs w:val="26"/>
        </w:rPr>
        <w:t>5. Conclusions</w:t>
      </w:r>
    </w:p>
    <w:p w14:paraId="393B3FFE" w14:textId="66C5E2B8" w:rsidR="0059311B" w:rsidRPr="00D55734" w:rsidRDefault="00911CBF" w:rsidP="00F15001">
      <w:pPr>
        <w:pBdr>
          <w:left w:val="single" w:sz="16" w:space="4" w:color="C9952A"/>
        </w:pBdr>
        <w:shd w:val="clear" w:color="auto" w:fill="F7F4EE"/>
        <w:bidi w:val="0"/>
        <w:spacing w:before="80" w:after="80"/>
        <w:jc w:val="both"/>
        <w:rPr>
          <w:rFonts w:asciiTheme="majorBidi" w:hAnsiTheme="majorBidi" w:cstheme="majorBidi"/>
          <w:sz w:val="28"/>
          <w:szCs w:val="28"/>
        </w:rPr>
      </w:pPr>
      <w:r>
        <w:rPr>
          <w:rFonts w:asciiTheme="majorBidi" w:hAnsiTheme="majorBidi" w:cstheme="majorBidi"/>
          <w:i/>
          <w:iCs/>
          <w:sz w:val="24"/>
          <w:szCs w:val="24"/>
        </w:rPr>
        <w:t>This randomized controlled trial provides robust evidence that an eight-week plyometric training program, delivered three times per week within regular football training sessions, significantly improves explosive power and agility in male youth football players. Large effect sizes were observed across all four performance outcomes—vertical jump, standing broad jump, Illinois Agility Test, and 5-10-5 shuttle run—in the plyometric training group, with no meaningful changes recorded in the control group. These findings carry direct practical implications for youth football coaches and sport scientists, supporting the structured integration of plyometric conditioning into academy training programs. Future research should examine the long-term retention of these adaptations, evaluate the efficacy of the protocol in female youth footballers, and incorporate reactive agility assessments to capture the decision-making dimension of sport-specific agility.</w:t>
      </w:r>
    </w:p>
    <w:p w14:paraId="1A000001" w14:textId="77777777" w:rsidR="0059311B" w:rsidRDefault="00911CBF" w:rsidP="003C3836">
      <w:pPr>
        <w:pBdr>
          <w:bottom w:val="single" w:sz="6" w:space="2" w:color="C9952A"/>
        </w:pBdr>
        <w:bidi w:val="0"/>
        <w:spacing w:before="280" w:after="100"/>
        <w:rPr>
          <w:rFonts w:ascii="Georgia" w:hAnsi="Georgia" w:cs="Georgia"/>
          <w:b/>
          <w:bCs/>
          <w:color w:val="111111"/>
          <w:sz w:val="26"/>
          <w:szCs w:val="26"/>
        </w:rPr>
      </w:pPr>
      <w:r>
        <w:rPr>
          <w:rFonts w:ascii="Georgia" w:hAnsi="Georgia" w:cs="Georgia"/>
          <w:b/>
          <w:bCs/>
          <w:color w:val="111111"/>
          <w:sz w:val="26"/>
          <w:szCs w:val="26"/>
        </w:rPr>
        <w:t>Author Contributions</w:t>
      </w:r>
    </w:p>
    <w:p w14:paraId="1A000002" w14:textId="4FE33F29" w:rsidR="0059311B" w:rsidRDefault="00911CBF" w:rsidP="00F15001">
      <w:pPr>
        <w:pBdr>
          <w:left w:val="single" w:sz="16" w:space="4" w:color="C9952A"/>
        </w:pBdr>
        <w:shd w:val="clear" w:color="auto" w:fill="F7F4EE"/>
        <w:bidi w:val="0"/>
        <w:spacing w:before="80" w:after="40"/>
        <w:rPr>
          <w:color w:val="122B1E"/>
          <w:sz w:val="18"/>
          <w:szCs w:val="18"/>
        </w:rPr>
      </w:pPr>
      <w:r>
        <w:rPr>
          <w:b/>
          <w:bCs/>
          <w:color w:val="122B1E"/>
          <w:sz w:val="18"/>
          <w:szCs w:val="18"/>
        </w:rPr>
        <w:t xml:space="preserve"> </w:t>
      </w:r>
      <w:r>
        <w:rPr>
          <w:b/>
          <w:bCs/>
          <w:color w:val="3A3A3A"/>
          <w:sz w:val="19"/>
          <w:szCs w:val="19"/>
        </w:rPr>
        <w:t xml:space="preserve">A.K. Al-Rashidi: </w:t>
      </w:r>
      <w:r>
        <w:rPr>
          <w:color w:val="3A3A3A"/>
          <w:sz w:val="19"/>
          <w:szCs w:val="19"/>
        </w:rPr>
        <w:t xml:space="preserve">Conceptualization, Methodology, Investigation, Writing – Original Draft. </w:t>
      </w:r>
      <w:r>
        <w:rPr>
          <w:b/>
          <w:bCs/>
          <w:color w:val="3A3A3A"/>
          <w:sz w:val="19"/>
          <w:szCs w:val="19"/>
        </w:rPr>
        <w:t xml:space="preserve">O.F. Hassan: </w:t>
      </w:r>
      <w:r>
        <w:rPr>
          <w:color w:val="3A3A3A"/>
          <w:sz w:val="19"/>
          <w:szCs w:val="19"/>
        </w:rPr>
        <w:t xml:space="preserve">Data Curation, Formal Analysis, Visualization. </w:t>
      </w:r>
      <w:r>
        <w:rPr>
          <w:b/>
          <w:bCs/>
          <w:color w:val="3A3A3A"/>
          <w:sz w:val="19"/>
          <w:szCs w:val="19"/>
        </w:rPr>
        <w:t xml:space="preserve">S.M. Ibrahim: </w:t>
      </w:r>
      <w:r>
        <w:rPr>
          <w:color w:val="3A3A3A"/>
          <w:sz w:val="19"/>
          <w:szCs w:val="19"/>
        </w:rPr>
        <w:t>Supervision, Writing – Review &amp; Editing, Project Administration. All authors have read and approved the final manuscript.</w:t>
      </w:r>
    </w:p>
    <w:p w14:paraId="1A000010" w14:textId="77777777" w:rsidR="0059311B" w:rsidRDefault="00911CBF" w:rsidP="003C3836">
      <w:pPr>
        <w:pBdr>
          <w:bottom w:val="single" w:sz="6" w:space="2" w:color="C9952A"/>
        </w:pBdr>
        <w:bidi w:val="0"/>
        <w:spacing w:before="280" w:after="100"/>
        <w:rPr>
          <w:rFonts w:ascii="Georgia" w:hAnsi="Georgia" w:cs="Georgia"/>
          <w:b/>
          <w:bCs/>
          <w:color w:val="111111"/>
          <w:sz w:val="26"/>
          <w:szCs w:val="26"/>
        </w:rPr>
      </w:pPr>
      <w:r>
        <w:rPr>
          <w:rFonts w:ascii="Georgia" w:hAnsi="Georgia" w:cs="Georgia"/>
          <w:b/>
          <w:bCs/>
          <w:color w:val="111111"/>
          <w:sz w:val="26"/>
          <w:szCs w:val="26"/>
        </w:rPr>
        <w:t>Acknowledgements</w:t>
      </w:r>
    </w:p>
    <w:p w14:paraId="21F5E15C" w14:textId="11CEB777" w:rsidR="001369AB" w:rsidRPr="001F00EC" w:rsidRDefault="001369AB" w:rsidP="001F00EC">
      <w:pPr>
        <w:pBdr>
          <w:left w:val="single" w:sz="16" w:space="4" w:color="C9952A"/>
        </w:pBdr>
        <w:shd w:val="clear" w:color="auto" w:fill="F7F4EE"/>
        <w:bidi w:val="0"/>
        <w:spacing w:before="60" w:after="60"/>
        <w:rPr>
          <w:sz w:val="17"/>
          <w:szCs w:val="17"/>
        </w:rPr>
      </w:pPr>
      <w:r>
        <w:rPr>
          <w:color w:val="3A3A3A"/>
          <w:sz w:val="19"/>
          <w:szCs w:val="19"/>
        </w:rPr>
        <w:t>The authors would like to thank the football academies in Baghdad for their cooperation and the participants for their voluntary involvement in this study. The authors also acknowledge the support of the College of Physical Education and Sports Sciences, University of Samarra, in facilitating access to laboratory facilities and testing equipment throughout the study period.</w:t>
      </w:r>
    </w:p>
    <w:p w14:paraId="1A000020" w14:textId="04D95DF3" w:rsidR="0059311B" w:rsidRDefault="00911CBF" w:rsidP="001369AB">
      <w:pPr>
        <w:pBdr>
          <w:bottom w:val="single" w:sz="6" w:space="2" w:color="C9952A"/>
        </w:pBdr>
        <w:bidi w:val="0"/>
        <w:spacing w:before="280" w:after="100"/>
        <w:rPr>
          <w:rFonts w:ascii="Georgia" w:hAnsi="Georgia" w:cs="Georgia"/>
          <w:b/>
          <w:bCs/>
          <w:color w:val="111111"/>
          <w:sz w:val="26"/>
          <w:szCs w:val="26"/>
        </w:rPr>
      </w:pPr>
      <w:r>
        <w:rPr>
          <w:rFonts w:ascii="Georgia" w:hAnsi="Georgia" w:cs="Georgia"/>
          <w:b/>
          <w:bCs/>
          <w:color w:val="111111"/>
          <w:sz w:val="26"/>
          <w:szCs w:val="26"/>
        </w:rPr>
        <w:t>Funding</w:t>
      </w:r>
    </w:p>
    <w:p w14:paraId="1A000022" w14:textId="1F9A72E3" w:rsidR="0059311B" w:rsidRDefault="001369AB" w:rsidP="00F15001">
      <w:pPr>
        <w:pBdr>
          <w:left w:val="single" w:sz="16" w:space="4" w:color="C9952A"/>
        </w:pBdr>
        <w:shd w:val="clear" w:color="auto" w:fill="F7F4EE"/>
        <w:bidi w:val="0"/>
        <w:spacing w:before="60" w:after="60"/>
        <w:rPr>
          <w:sz w:val="17"/>
          <w:szCs w:val="17"/>
        </w:rPr>
      </w:pPr>
      <w:r>
        <w:rPr>
          <w:color w:val="3A3A3A"/>
          <w:sz w:val="19"/>
          <w:szCs w:val="19"/>
        </w:rPr>
        <w:t>This research received no specific grant from any funding agency in the public, commercial, or not-for-profit sectors.</w:t>
      </w:r>
    </w:p>
    <w:p w14:paraId="1A000030" w14:textId="77777777" w:rsidR="0059311B" w:rsidRDefault="00911CBF" w:rsidP="003C3836">
      <w:pPr>
        <w:pBdr>
          <w:bottom w:val="single" w:sz="6" w:space="2" w:color="C9952A"/>
        </w:pBdr>
        <w:bidi w:val="0"/>
        <w:spacing w:before="280" w:after="100"/>
        <w:rPr>
          <w:rFonts w:ascii="Georgia" w:hAnsi="Georgia" w:cs="Georgia"/>
          <w:b/>
          <w:bCs/>
          <w:color w:val="111111"/>
          <w:sz w:val="26"/>
          <w:szCs w:val="26"/>
        </w:rPr>
      </w:pPr>
      <w:r>
        <w:rPr>
          <w:rFonts w:ascii="Georgia" w:hAnsi="Georgia" w:cs="Georgia"/>
          <w:b/>
          <w:bCs/>
          <w:color w:val="111111"/>
          <w:sz w:val="26"/>
          <w:szCs w:val="26"/>
        </w:rPr>
        <w:t>Conflict of Interest</w:t>
      </w:r>
    </w:p>
    <w:p w14:paraId="1A000032" w14:textId="5057006A" w:rsidR="0059311B" w:rsidRDefault="00092064" w:rsidP="00F15001">
      <w:pPr>
        <w:pBdr>
          <w:left w:val="single" w:sz="16" w:space="4" w:color="C9952A"/>
        </w:pBdr>
        <w:shd w:val="clear" w:color="auto" w:fill="F7F4EE"/>
        <w:bidi w:val="0"/>
        <w:spacing w:before="60" w:after="60"/>
        <w:rPr>
          <w:sz w:val="17"/>
          <w:szCs w:val="17"/>
        </w:rPr>
      </w:pPr>
      <w:r>
        <w:rPr>
          <w:color w:val="3A3A3A"/>
          <w:sz w:val="19"/>
          <w:szCs w:val="19"/>
        </w:rPr>
        <w:t>The authors declare that they have no known competing financial interests or personal relationships that could have appeared to influence the work reported in this paper</w:t>
      </w:r>
      <w:r>
        <w:rPr>
          <w:i/>
          <w:iCs/>
          <w:color w:val="777777"/>
          <w:sz w:val="17"/>
          <w:szCs w:val="17"/>
        </w:rPr>
        <w:t>.</w:t>
      </w:r>
    </w:p>
    <w:p w14:paraId="1A000040" w14:textId="77777777" w:rsidR="0059311B" w:rsidRDefault="00911CBF" w:rsidP="003C3836">
      <w:pPr>
        <w:pBdr>
          <w:bottom w:val="single" w:sz="6" w:space="2" w:color="C9952A"/>
        </w:pBdr>
        <w:bidi w:val="0"/>
        <w:spacing w:before="280" w:after="100"/>
        <w:rPr>
          <w:rFonts w:ascii="Georgia" w:hAnsi="Georgia" w:cs="Georgia"/>
          <w:b/>
          <w:bCs/>
          <w:color w:val="111111"/>
          <w:sz w:val="26"/>
          <w:szCs w:val="26"/>
        </w:rPr>
      </w:pPr>
      <w:r>
        <w:rPr>
          <w:rFonts w:ascii="Georgia" w:hAnsi="Georgia" w:cs="Georgia"/>
          <w:b/>
          <w:bCs/>
          <w:color w:val="111111"/>
          <w:sz w:val="26"/>
          <w:szCs w:val="26"/>
        </w:rPr>
        <w:t>Data Availability Statement</w:t>
      </w:r>
    </w:p>
    <w:p w14:paraId="1A000042" w14:textId="7C885BB4" w:rsidR="0059311B" w:rsidRDefault="00911CBF" w:rsidP="00092064">
      <w:pPr>
        <w:pBdr>
          <w:left w:val="single" w:sz="16" w:space="4" w:color="C9952A"/>
        </w:pBdr>
        <w:shd w:val="clear" w:color="auto" w:fill="F7F4EE"/>
        <w:bidi w:val="0"/>
        <w:spacing w:before="60" w:after="60"/>
        <w:rPr>
          <w:sz w:val="17"/>
          <w:szCs w:val="17"/>
        </w:rPr>
      </w:pPr>
      <w:r>
        <w:rPr>
          <w:b/>
          <w:bCs/>
          <w:color w:val="122B1E"/>
          <w:sz w:val="17"/>
          <w:szCs w:val="17"/>
        </w:rPr>
        <w:t xml:space="preserve"> </w:t>
      </w:r>
      <w:r>
        <w:rPr>
          <w:color w:val="3A3A3A"/>
          <w:sz w:val="19"/>
          <w:szCs w:val="19"/>
        </w:rPr>
        <w:t>The data that support the findings of this study are available from the corresponding author upon reasonable request.</w:t>
      </w:r>
    </w:p>
    <w:p w14:paraId="1E53D9E1" w14:textId="77777777" w:rsidR="001F00EC" w:rsidRDefault="001F00EC" w:rsidP="003C3836">
      <w:pPr>
        <w:pBdr>
          <w:bottom w:val="single" w:sz="6" w:space="2" w:color="C9952A"/>
        </w:pBdr>
        <w:bidi w:val="0"/>
        <w:spacing w:before="280" w:after="100"/>
        <w:rPr>
          <w:rFonts w:asciiTheme="majorBidi" w:eastAsia="Georgia" w:hAnsiTheme="majorBidi" w:cstheme="majorBidi"/>
          <w:b/>
          <w:bCs/>
          <w:color w:val="111111"/>
          <w:sz w:val="26"/>
          <w:szCs w:val="26"/>
        </w:rPr>
      </w:pPr>
    </w:p>
    <w:p w14:paraId="46C82ED6" w14:textId="77777777" w:rsidR="006C7BEF" w:rsidRDefault="006C7BEF" w:rsidP="006C7BEF">
      <w:pPr>
        <w:pBdr>
          <w:bottom w:val="single" w:sz="6" w:space="2" w:color="C9952A"/>
        </w:pBdr>
        <w:bidi w:val="0"/>
        <w:spacing w:before="280" w:after="100"/>
        <w:rPr>
          <w:rFonts w:asciiTheme="majorBidi" w:eastAsia="Georgia" w:hAnsiTheme="majorBidi" w:cstheme="majorBidi"/>
          <w:b/>
          <w:bCs/>
          <w:color w:val="111111"/>
          <w:sz w:val="26"/>
          <w:szCs w:val="26"/>
        </w:rPr>
      </w:pPr>
    </w:p>
    <w:p w14:paraId="46489740" w14:textId="42610043" w:rsidR="0059311B" w:rsidRPr="00F15001" w:rsidRDefault="00911CBF" w:rsidP="001F00EC">
      <w:pPr>
        <w:pBdr>
          <w:bottom w:val="single" w:sz="6" w:space="2" w:color="C9952A"/>
        </w:pBdr>
        <w:bidi w:val="0"/>
        <w:spacing w:before="280" w:after="100"/>
        <w:rPr>
          <w:rFonts w:asciiTheme="majorBidi" w:hAnsiTheme="majorBidi" w:cstheme="majorBidi"/>
        </w:rPr>
      </w:pPr>
      <w:r>
        <w:rPr>
          <w:rFonts w:asciiTheme="majorBidi" w:eastAsia="Georgia" w:hAnsiTheme="majorBidi" w:cstheme="majorBidi"/>
          <w:b/>
          <w:bCs/>
          <w:color w:val="111111"/>
          <w:sz w:val="26"/>
          <w:szCs w:val="26"/>
        </w:rPr>
        <w:lastRenderedPageBreak/>
        <w:t>References</w:t>
      </w:r>
    </w:p>
    <w:p w14:paraId="69DF590D" w14:textId="77777777" w:rsidR="0059311B" w:rsidRPr="00952CBC" w:rsidRDefault="00911CBF" w:rsidP="00F15001">
      <w:pPr>
        <w:bidi w:val="0"/>
        <w:spacing w:before="80" w:after="40"/>
        <w:ind w:left="720" w:hanging="720"/>
        <w:rPr>
          <w:rFonts w:asciiTheme="majorBidi" w:hAnsiTheme="majorBidi" w:cstheme="majorBidi"/>
          <w:sz w:val="22"/>
          <w:szCs w:val="22"/>
        </w:rPr>
      </w:pPr>
      <w:r>
        <w:rPr>
          <w:rFonts w:asciiTheme="majorBidi" w:hAnsiTheme="majorBidi" w:cstheme="majorBidi"/>
          <w:sz w:val="22"/>
          <w:szCs w:val="22"/>
        </w:rPr>
        <w:t xml:space="preserve">Cohen, J. (1988). </w:t>
      </w:r>
      <w:r>
        <w:rPr>
          <w:rFonts w:asciiTheme="majorBidi" w:hAnsiTheme="majorBidi" w:cstheme="majorBidi"/>
          <w:i/>
          <w:iCs/>
          <w:sz w:val="22"/>
          <w:szCs w:val="22"/>
        </w:rPr>
        <w:t xml:space="preserve">Statistical power analysis for the behavioral sciences </w:t>
      </w:r>
      <w:r>
        <w:rPr>
          <w:rFonts w:asciiTheme="majorBidi" w:hAnsiTheme="majorBidi" w:cstheme="majorBidi"/>
          <w:b/>
          <w:bCs/>
          <w:sz w:val="22"/>
          <w:szCs w:val="22"/>
        </w:rPr>
        <w:t>(2nd ed.).</w:t>
      </w:r>
      <w:r>
        <w:rPr>
          <w:rFonts w:asciiTheme="majorBidi" w:hAnsiTheme="majorBidi" w:cstheme="majorBidi"/>
          <w:sz w:val="22"/>
          <w:szCs w:val="22"/>
        </w:rPr>
        <w:t xml:space="preserve"> Lawrence Erlbaum Associates.</w:t>
      </w:r>
    </w:p>
    <w:p w14:paraId="386829A8" w14:textId="77777777" w:rsidR="0059311B" w:rsidRPr="00952CBC" w:rsidRDefault="00911CBF" w:rsidP="00F15001">
      <w:pPr>
        <w:bidi w:val="0"/>
        <w:spacing w:before="40" w:after="40"/>
        <w:ind w:left="720" w:hanging="720"/>
        <w:rPr>
          <w:rFonts w:asciiTheme="majorBidi" w:hAnsiTheme="majorBidi" w:cstheme="majorBidi"/>
          <w:sz w:val="22"/>
          <w:szCs w:val="22"/>
        </w:rPr>
      </w:pPr>
      <w:r>
        <w:rPr>
          <w:rFonts w:asciiTheme="majorBidi" w:hAnsiTheme="majorBidi" w:cstheme="majorBidi"/>
          <w:sz w:val="22"/>
          <w:szCs w:val="22"/>
        </w:rPr>
        <w:t xml:space="preserve">Lloyd, R. S., Oliver, J. L., Hughes, M. G., &amp; Williams, C. A. (2012). </w:t>
      </w:r>
      <w:r>
        <w:rPr>
          <w:rFonts w:asciiTheme="majorBidi" w:hAnsiTheme="majorBidi" w:cstheme="majorBidi"/>
          <w:i/>
          <w:iCs/>
          <w:sz w:val="22"/>
          <w:szCs w:val="22"/>
        </w:rPr>
        <w:t>Age-related differences in the neural regulation of stretch-shortening cycle activities in male youths during maximal and sub-maximal hopping.</w:t>
      </w:r>
      <w:r>
        <w:rPr>
          <w:rFonts w:asciiTheme="majorBidi" w:hAnsiTheme="majorBidi" w:cstheme="majorBidi"/>
          <w:sz w:val="22"/>
          <w:szCs w:val="22"/>
        </w:rPr>
        <w:t xml:space="preserve"> Journal of Electromyography and Kinesiology, 22(1), 37–43. https://doi.org/10.1016/j.jelekin.2011.09.008</w:t>
      </w:r>
    </w:p>
    <w:p w14:paraId="0F12D505" w14:textId="77777777" w:rsidR="0059311B" w:rsidRPr="00952CBC" w:rsidRDefault="00911CBF" w:rsidP="00F15001">
      <w:pPr>
        <w:bidi w:val="0"/>
        <w:spacing w:before="40" w:after="40"/>
        <w:ind w:left="720" w:hanging="720"/>
        <w:rPr>
          <w:rFonts w:asciiTheme="majorBidi" w:hAnsiTheme="majorBidi" w:cstheme="majorBidi"/>
          <w:sz w:val="22"/>
          <w:szCs w:val="22"/>
        </w:rPr>
      </w:pPr>
      <w:r>
        <w:rPr>
          <w:rFonts w:asciiTheme="majorBidi" w:hAnsiTheme="majorBidi" w:cstheme="majorBidi"/>
          <w:sz w:val="22"/>
          <w:szCs w:val="22"/>
        </w:rPr>
        <w:t xml:space="preserve">Markovic, G., &amp; Mikulic, P. (2010). Neuro-musculoskeletal and performance adaptations to lower-extremity plyometric training. </w:t>
      </w:r>
      <w:r>
        <w:rPr>
          <w:rFonts w:asciiTheme="majorBidi" w:hAnsiTheme="majorBidi" w:cstheme="majorBidi"/>
          <w:i/>
          <w:iCs/>
          <w:sz w:val="22"/>
          <w:szCs w:val="22"/>
        </w:rPr>
        <w:t xml:space="preserve">Sports Medicine, </w:t>
      </w:r>
      <w:r>
        <w:rPr>
          <w:rFonts w:asciiTheme="majorBidi" w:hAnsiTheme="majorBidi" w:cstheme="majorBidi"/>
          <w:sz w:val="22"/>
          <w:szCs w:val="22"/>
        </w:rPr>
        <w:t>40(6), 449–495. https://doi.org/10.2165/11533420-000000000-00000</w:t>
      </w:r>
    </w:p>
    <w:p w14:paraId="6082E320" w14:textId="19F2B648" w:rsidR="0059311B" w:rsidRPr="00952CBC" w:rsidRDefault="00952CBC" w:rsidP="00F15001">
      <w:pPr>
        <w:bidi w:val="0"/>
        <w:rPr>
          <w:rFonts w:asciiTheme="majorBidi" w:hAnsiTheme="majorBidi" w:cstheme="majorBidi"/>
          <w:sz w:val="22"/>
          <w:szCs w:val="22"/>
        </w:rPr>
      </w:pPr>
      <w:r>
        <w:rPr>
          <w:rFonts w:asciiTheme="majorBidi" w:hAnsiTheme="majorBidi" w:cstheme="majorBidi"/>
          <w:b/>
          <w:bCs/>
          <w:sz w:val="22"/>
          <w:szCs w:val="22"/>
        </w:rPr>
        <w:t xml:space="preserve">  Meylan, C., &amp; Malatesta, D. (2009). </w:t>
      </w:r>
      <w:r>
        <w:rPr>
          <w:rFonts w:asciiTheme="majorBidi" w:hAnsiTheme="majorBidi" w:cstheme="majorBidi"/>
          <w:i/>
          <w:iCs/>
          <w:sz w:val="22"/>
          <w:szCs w:val="22"/>
        </w:rPr>
        <w:t xml:space="preserve">Effects of in-season plyometric training within soccer practice on explosive actions of young players. Journal of Strength and Conditioning Research, 23(9), 2605–2613. </w:t>
      </w:r>
      <w:hyperlink r:id="rId12" w:history="1">
        <w:r>
          <w:rPr>
            <w:rStyle w:val="Hyperlink"/>
            <w:rFonts w:asciiTheme="majorBidi" w:hAnsiTheme="majorBidi" w:cstheme="majorBidi"/>
            <w:i/>
            <w:iCs/>
            <w:color w:val="auto"/>
            <w:sz w:val="22"/>
            <w:szCs w:val="22"/>
          </w:rPr>
          <w:t>https://doi.org/10.1519/JSC.0b013e3181b1f0</w:t>
        </w:r>
        <w:r>
          <w:rPr>
            <w:rStyle w:val="Hyperlink"/>
            <w:rFonts w:asciiTheme="majorBidi" w:hAnsiTheme="majorBidi" w:cstheme="majorBidi"/>
            <w:color w:val="auto"/>
            <w:sz w:val="22"/>
            <w:szCs w:val="22"/>
          </w:rPr>
          <w:t>19</w:t>
        </w:r>
      </w:hyperlink>
      <w:r>
        <w:rPr>
          <w:rFonts w:asciiTheme="majorBidi" w:hAnsiTheme="majorBidi" w:cstheme="majorBidi"/>
          <w:sz w:val="22"/>
          <w:szCs w:val="22"/>
        </w:rPr>
        <w:t xml:space="preserve"> </w:t>
      </w:r>
    </w:p>
    <w:p w14:paraId="58B3811C" w14:textId="769F387A" w:rsidR="0059311B" w:rsidRPr="00952CBC" w:rsidRDefault="0059311B" w:rsidP="00F15001">
      <w:pPr>
        <w:bidi w:val="0"/>
        <w:spacing w:before="80" w:after="40"/>
        <w:ind w:left="720" w:hanging="720"/>
        <w:rPr>
          <w:rFonts w:asciiTheme="majorBidi" w:hAnsiTheme="majorBidi" w:cstheme="majorBidi"/>
          <w:sz w:val="22"/>
          <w:szCs w:val="22"/>
        </w:rPr>
      </w:pPr>
      <w:r>
        <w:rPr>
          <w:rFonts w:asciiTheme="majorBidi" w:hAnsiTheme="majorBidi" w:cstheme="majorBidi"/>
          <w:sz w:val="22"/>
          <w:szCs w:val="22"/>
        </w:rPr>
        <w:t xml:space="preserve">Ramírez-Campillo, R., Burgos, C., Henríquez-Olín, C., Andrade, D. C., Martínez, C., Alvarez, C., Baez, E. I., Acuña, M., Marques, M. C., &amp; Izquierdo, M. (2015). Effect of unilateral, bilateral, and combined plyometric training on explosive and endurance performance of young soccer players. Journal of Strength and Conditioning Research, 29(5), 1317–1328. </w:t>
      </w:r>
      <w:hyperlink r:id="rId13" w:history="1">
        <w:r>
          <w:rPr>
            <w:rStyle w:val="Hyperlink"/>
            <w:rFonts w:asciiTheme="majorBidi" w:hAnsiTheme="majorBidi" w:cstheme="majorBidi"/>
            <w:color w:val="auto"/>
            <w:sz w:val="22"/>
            <w:szCs w:val="22"/>
          </w:rPr>
          <w:t>https://doi.org/10.1519/JSC.0000000000000762</w:t>
        </w:r>
      </w:hyperlink>
      <w:r>
        <w:rPr>
          <w:rFonts w:asciiTheme="majorBidi" w:hAnsiTheme="majorBidi" w:cstheme="majorBidi"/>
          <w:sz w:val="22"/>
          <w:szCs w:val="22"/>
        </w:rPr>
        <w:t xml:space="preserve"> </w:t>
      </w:r>
    </w:p>
    <w:p w14:paraId="58B3811D" w14:textId="46AEB2A8" w:rsidR="0059311B" w:rsidRPr="00952CBC" w:rsidRDefault="0059311B" w:rsidP="00F15001">
      <w:pPr>
        <w:bidi w:val="0"/>
        <w:spacing w:before="40" w:after="40"/>
        <w:ind w:left="720" w:hanging="720"/>
        <w:rPr>
          <w:rFonts w:asciiTheme="majorBidi" w:hAnsiTheme="majorBidi" w:cstheme="majorBidi"/>
          <w:sz w:val="22"/>
          <w:szCs w:val="22"/>
        </w:rPr>
      </w:pPr>
      <w:r>
        <w:rPr>
          <w:rFonts w:asciiTheme="majorBidi" w:hAnsiTheme="majorBidi" w:cstheme="majorBidi"/>
          <w:sz w:val="22"/>
          <w:szCs w:val="22"/>
        </w:rPr>
        <w:t xml:space="preserve">Sheppard, J. M., &amp; Young, W. B. (2006). Agility literature review: Classifications, training and testing. Journal of Sports Sciences, 24(9), 919–932. </w:t>
      </w:r>
      <w:hyperlink r:id="rId14" w:history="1">
        <w:r>
          <w:rPr>
            <w:rStyle w:val="Hyperlink"/>
            <w:rFonts w:asciiTheme="majorBidi" w:hAnsiTheme="majorBidi" w:cstheme="majorBidi"/>
            <w:color w:val="auto"/>
            <w:sz w:val="22"/>
            <w:szCs w:val="22"/>
          </w:rPr>
          <w:t>https://doi.org/10.1080/02640410500457109</w:t>
        </w:r>
      </w:hyperlink>
      <w:r>
        <w:rPr>
          <w:rFonts w:asciiTheme="majorBidi" w:hAnsiTheme="majorBidi" w:cstheme="majorBidi"/>
          <w:sz w:val="22"/>
          <w:szCs w:val="22"/>
        </w:rPr>
        <w:t xml:space="preserve"> </w:t>
      </w:r>
    </w:p>
    <w:p w14:paraId="58B3811F" w14:textId="3412B7D6" w:rsidR="0059311B" w:rsidRPr="009F294D" w:rsidRDefault="0059311B" w:rsidP="009F294D">
      <w:pPr>
        <w:bidi w:val="0"/>
        <w:spacing w:before="40" w:after="40"/>
        <w:ind w:left="720" w:hanging="720"/>
        <w:rPr>
          <w:rFonts w:asciiTheme="majorBidi" w:hAnsiTheme="majorBidi" w:cstheme="majorBidi"/>
          <w:sz w:val="22"/>
          <w:szCs w:val="22"/>
        </w:rPr>
      </w:pPr>
      <w:r>
        <w:rPr>
          <w:rFonts w:asciiTheme="majorBidi" w:hAnsiTheme="majorBidi" w:cstheme="majorBidi"/>
          <w:sz w:val="22"/>
          <w:szCs w:val="22"/>
        </w:rPr>
        <w:t xml:space="preserve">Stølen, T., Chamari, K., Castagna, C., &amp; Wisløff, U. (2005). Physiology of soccer: An update. Sports Medicine, 35(6), 501–536. </w:t>
      </w:r>
      <w:hyperlink r:id="rId15" w:history="1">
        <w:r>
          <w:rPr>
            <w:rStyle w:val="Hyperlink"/>
            <w:rFonts w:asciiTheme="majorBidi" w:hAnsiTheme="majorBidi" w:cstheme="majorBidi"/>
            <w:color w:val="auto"/>
            <w:sz w:val="22"/>
            <w:szCs w:val="22"/>
          </w:rPr>
          <w:t>https://doi.org/10.2165/00007256-200535060-00004</w:t>
        </w:r>
      </w:hyperlink>
      <w:r>
        <w:rPr>
          <w:rFonts w:asciiTheme="majorBidi" w:hAnsiTheme="majorBidi" w:cstheme="majorBidi"/>
          <w:sz w:val="22"/>
          <w:szCs w:val="22"/>
        </w:rPr>
        <w:t xml:space="preserve"> </w:t>
      </w:r>
    </w:p>
    <w:sectPr w:rsidR="0059311B" w:rsidRPr="009F294D" w:rsidSect="004D06DD">
      <w:headerReference w:type="default" r:id="rId16"/>
      <w:pgSz w:w="11906" w:h="16838"/>
      <w:pgMar w:top="212" w:right="900" w:bottom="900" w:left="90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B2EE" w14:textId="77777777" w:rsidR="00832288" w:rsidRDefault="00832288" w:rsidP="006203C3">
      <w:r>
        <w:separator/>
      </w:r>
    </w:p>
  </w:endnote>
  <w:endnote w:type="continuationSeparator" w:id="0">
    <w:p w14:paraId="523FB24A" w14:textId="77777777" w:rsidR="00832288" w:rsidRDefault="00832288" w:rsidP="0062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04D5" w14:textId="77777777" w:rsidR="00832288" w:rsidRDefault="00832288" w:rsidP="006203C3">
      <w:r>
        <w:separator/>
      </w:r>
    </w:p>
  </w:footnote>
  <w:footnote w:type="continuationSeparator" w:id="0">
    <w:p w14:paraId="363BC7E5" w14:textId="77777777" w:rsidR="00832288" w:rsidRDefault="00832288" w:rsidP="0062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2EAA" w14:textId="1249D465" w:rsidR="006203C3" w:rsidRPr="006203C3" w:rsidRDefault="006203C3" w:rsidP="006203C3">
    <w:pPr>
      <w:pBdr>
        <w:bottom w:val="single" w:sz="12" w:space="0" w:color="122B1E"/>
      </w:pBdr>
      <w:shd w:val="clear" w:color="auto" w:fill="F5F0E8"/>
      <w:bidi w:val="0"/>
      <w:spacing w:before="40" w:after="40"/>
      <w:jc w:val="both"/>
      <w:rPr>
        <w:rFonts w:asciiTheme="majorBidi" w:hAnsiTheme="majorBidi" w:cstheme="majorBidi"/>
        <w:b/>
        <w:bCs/>
        <w:sz w:val="18"/>
        <w:szCs w:val="18"/>
      </w:rPr>
    </w:pPr>
    <w:r w:rsidRPr="006203C3">
      <w:rPr>
        <w:rFonts w:asciiTheme="majorBidi" w:eastAsia="Georgia" w:hAnsiTheme="majorBidi" w:cstheme="majorBidi"/>
        <w:i/>
        <w:iCs/>
        <w:color w:val="777777"/>
        <w:sz w:val="18"/>
        <w:szCs w:val="18"/>
      </w:rPr>
      <w:t xml:space="preserve">Al-Rashidi et al. / </w:t>
    </w:r>
    <w:r w:rsidRPr="006203C3">
      <w:rPr>
        <w:rFonts w:asciiTheme="majorBidi" w:eastAsia="Georgia" w:hAnsiTheme="majorBidi" w:cstheme="majorBidi"/>
        <w:i/>
        <w:iCs/>
        <w:color w:val="122B1E"/>
        <w:sz w:val="18"/>
        <w:szCs w:val="18"/>
      </w:rPr>
      <w:t>Al-Malwiya Journal of Sport and Movement Sciences</w:t>
    </w:r>
    <w:r w:rsidRPr="006203C3">
      <w:rPr>
        <w:rFonts w:asciiTheme="majorBidi" w:eastAsia="Georgia" w:hAnsiTheme="majorBidi" w:cstheme="majorBidi"/>
        <w:i/>
        <w:iCs/>
        <w:color w:val="777777"/>
        <w:sz w:val="18"/>
        <w:szCs w:val="18"/>
      </w:rPr>
      <w:t xml:space="preserve"> Vol. [X], No. [X] (20XX) [pp–pp]</w:t>
    </w:r>
    <w:r>
      <w:rPr>
        <w:color w:val="122B1E"/>
        <w:sz w:val="18"/>
        <w:szCs w:val="18"/>
      </w:rPr>
      <w:t xml:space="preserve">    </w:t>
    </w:r>
    <w:r>
      <w:rPr>
        <w:b/>
        <w:bCs/>
        <w:color w:val="122B1E"/>
        <w:sz w:val="18"/>
        <w:szCs w:val="18"/>
      </w:rPr>
      <w:fldChar w:fldCharType="begin"/>
    </w:r>
    <w:r>
      <w:rPr>
        <w:b/>
        <w:bCs/>
        <w:color w:val="122B1E"/>
        <w:sz w:val="18"/>
        <w:szCs w:val="18"/>
      </w:rPr>
      <w:instrText xml:space="preserve"> PAGE </w:instrText>
    </w:r>
    <w:r>
      <w:rPr>
        <w:b/>
        <w:bCs/>
        <w:color w:val="122B1E"/>
        <w:sz w:val="18"/>
        <w:szCs w:val="18"/>
      </w:rPr>
      <w:fldChar w:fldCharType="separate"/>
    </w:r>
    <w:r>
      <w:rPr>
        <w:b/>
        <w:bCs/>
        <w:color w:val="122B1E"/>
        <w:sz w:val="18"/>
        <w:szCs w:val="18"/>
      </w:rPr>
      <w:t>1</w:t>
    </w:r>
    <w:r>
      <w:rPr>
        <w:b/>
        <w:bCs/>
        <w:color w:val="122B1E"/>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028E2"/>
    <w:multiLevelType w:val="hybridMultilevel"/>
    <w:tmpl w:val="FFFFFFFF"/>
    <w:lvl w:ilvl="0" w:tplc="2EA86328">
      <w:start w:val="1"/>
      <w:numFmt w:val="bullet"/>
      <w:lvlText w:val="●"/>
      <w:lvlJc w:val="left"/>
      <w:pPr>
        <w:ind w:left="720" w:hanging="360"/>
      </w:pPr>
    </w:lvl>
    <w:lvl w:ilvl="1" w:tplc="630ACE2A">
      <w:start w:val="1"/>
      <w:numFmt w:val="bullet"/>
      <w:lvlText w:val="○"/>
      <w:lvlJc w:val="left"/>
      <w:pPr>
        <w:ind w:left="1440" w:hanging="360"/>
      </w:pPr>
    </w:lvl>
    <w:lvl w:ilvl="2" w:tplc="ABE60A30">
      <w:start w:val="1"/>
      <w:numFmt w:val="bullet"/>
      <w:lvlText w:val="■"/>
      <w:lvlJc w:val="left"/>
      <w:pPr>
        <w:ind w:left="2160" w:hanging="360"/>
      </w:pPr>
    </w:lvl>
    <w:lvl w:ilvl="3" w:tplc="54FA4BE6">
      <w:start w:val="1"/>
      <w:numFmt w:val="bullet"/>
      <w:lvlText w:val="●"/>
      <w:lvlJc w:val="left"/>
      <w:pPr>
        <w:ind w:left="2880" w:hanging="360"/>
      </w:pPr>
    </w:lvl>
    <w:lvl w:ilvl="4" w:tplc="500410B8">
      <w:start w:val="1"/>
      <w:numFmt w:val="bullet"/>
      <w:lvlText w:val="○"/>
      <w:lvlJc w:val="left"/>
      <w:pPr>
        <w:ind w:left="3600" w:hanging="360"/>
      </w:pPr>
    </w:lvl>
    <w:lvl w:ilvl="5" w:tplc="C304E7FA">
      <w:start w:val="1"/>
      <w:numFmt w:val="bullet"/>
      <w:lvlText w:val="■"/>
      <w:lvlJc w:val="left"/>
      <w:pPr>
        <w:ind w:left="4320" w:hanging="360"/>
      </w:pPr>
    </w:lvl>
    <w:lvl w:ilvl="6" w:tplc="16FC3C48">
      <w:start w:val="1"/>
      <w:numFmt w:val="bullet"/>
      <w:lvlText w:val="●"/>
      <w:lvlJc w:val="left"/>
      <w:pPr>
        <w:ind w:left="5040" w:hanging="360"/>
      </w:pPr>
    </w:lvl>
    <w:lvl w:ilvl="7" w:tplc="2AB84D9C">
      <w:start w:val="1"/>
      <w:numFmt w:val="bullet"/>
      <w:lvlText w:val="●"/>
      <w:lvlJc w:val="left"/>
      <w:pPr>
        <w:ind w:left="5760" w:hanging="360"/>
      </w:pPr>
    </w:lvl>
    <w:lvl w:ilvl="8" w:tplc="DADCAD2C">
      <w:start w:val="1"/>
      <w:numFmt w:val="bullet"/>
      <w:lvlText w:val="●"/>
      <w:lvlJc w:val="left"/>
      <w:pPr>
        <w:ind w:left="6480" w:hanging="360"/>
      </w:pPr>
    </w:lvl>
  </w:abstractNum>
  <w:num w:numId="1" w16cid:durableId="103580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11B"/>
    <w:rsid w:val="000738E4"/>
    <w:rsid w:val="000856C8"/>
    <w:rsid w:val="00092064"/>
    <w:rsid w:val="00092ACF"/>
    <w:rsid w:val="000C3912"/>
    <w:rsid w:val="00126516"/>
    <w:rsid w:val="00135BCC"/>
    <w:rsid w:val="001369AB"/>
    <w:rsid w:val="00144F67"/>
    <w:rsid w:val="001639DD"/>
    <w:rsid w:val="001A0807"/>
    <w:rsid w:val="001A400A"/>
    <w:rsid w:val="001F00EC"/>
    <w:rsid w:val="001F3D3A"/>
    <w:rsid w:val="00223D81"/>
    <w:rsid w:val="00227B42"/>
    <w:rsid w:val="002448BC"/>
    <w:rsid w:val="002A04B4"/>
    <w:rsid w:val="002C7A30"/>
    <w:rsid w:val="002D6FE4"/>
    <w:rsid w:val="002E428E"/>
    <w:rsid w:val="003000EA"/>
    <w:rsid w:val="0032054C"/>
    <w:rsid w:val="00391744"/>
    <w:rsid w:val="003C3836"/>
    <w:rsid w:val="003C3CB0"/>
    <w:rsid w:val="003E146E"/>
    <w:rsid w:val="00450BC3"/>
    <w:rsid w:val="00461B0B"/>
    <w:rsid w:val="00465497"/>
    <w:rsid w:val="004847DB"/>
    <w:rsid w:val="004A2554"/>
    <w:rsid w:val="004D06DD"/>
    <w:rsid w:val="004D4D12"/>
    <w:rsid w:val="005108A2"/>
    <w:rsid w:val="005230A6"/>
    <w:rsid w:val="005307C2"/>
    <w:rsid w:val="0059311B"/>
    <w:rsid w:val="005C700E"/>
    <w:rsid w:val="005E4337"/>
    <w:rsid w:val="00603630"/>
    <w:rsid w:val="00615A58"/>
    <w:rsid w:val="006203C3"/>
    <w:rsid w:val="0064210B"/>
    <w:rsid w:val="006520A2"/>
    <w:rsid w:val="00667E4B"/>
    <w:rsid w:val="006B234C"/>
    <w:rsid w:val="006C7BEF"/>
    <w:rsid w:val="00714506"/>
    <w:rsid w:val="007A3AEF"/>
    <w:rsid w:val="0081485D"/>
    <w:rsid w:val="00832288"/>
    <w:rsid w:val="00885382"/>
    <w:rsid w:val="008954B4"/>
    <w:rsid w:val="00911CBF"/>
    <w:rsid w:val="00913420"/>
    <w:rsid w:val="009159EF"/>
    <w:rsid w:val="00920634"/>
    <w:rsid w:val="00952CBC"/>
    <w:rsid w:val="00962122"/>
    <w:rsid w:val="009F294D"/>
    <w:rsid w:val="009F66FA"/>
    <w:rsid w:val="00A01451"/>
    <w:rsid w:val="00A2505F"/>
    <w:rsid w:val="00A40FCA"/>
    <w:rsid w:val="00A43404"/>
    <w:rsid w:val="00A51BE2"/>
    <w:rsid w:val="00A71DD4"/>
    <w:rsid w:val="00AE5778"/>
    <w:rsid w:val="00AF763C"/>
    <w:rsid w:val="00B04567"/>
    <w:rsid w:val="00B04653"/>
    <w:rsid w:val="00B34713"/>
    <w:rsid w:val="00B4191D"/>
    <w:rsid w:val="00BB464A"/>
    <w:rsid w:val="00BC43D8"/>
    <w:rsid w:val="00BC57C3"/>
    <w:rsid w:val="00C648D9"/>
    <w:rsid w:val="00CB05F2"/>
    <w:rsid w:val="00CB774A"/>
    <w:rsid w:val="00CD6049"/>
    <w:rsid w:val="00CD6CC8"/>
    <w:rsid w:val="00CE11C3"/>
    <w:rsid w:val="00CF4996"/>
    <w:rsid w:val="00D04CF9"/>
    <w:rsid w:val="00D200F2"/>
    <w:rsid w:val="00D55734"/>
    <w:rsid w:val="00D92C68"/>
    <w:rsid w:val="00DB19C8"/>
    <w:rsid w:val="00DC0FA2"/>
    <w:rsid w:val="00DD0821"/>
    <w:rsid w:val="00DF1B80"/>
    <w:rsid w:val="00E47900"/>
    <w:rsid w:val="00E6121B"/>
    <w:rsid w:val="00E76EE4"/>
    <w:rsid w:val="00ED205E"/>
    <w:rsid w:val="00EF1D67"/>
    <w:rsid w:val="00F15001"/>
    <w:rsid w:val="00F52847"/>
    <w:rsid w:val="00F61470"/>
    <w:rsid w:val="00FB6721"/>
    <w:rsid w:val="00FF0E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98DA0"/>
  <w15:docId w15:val="{2700A9EA-15A8-BF4C-AD32-18D6CA14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1">
    <w:name w:val="تشديد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108A2"/>
    <w:rPr>
      <w:color w:val="605E5C"/>
      <w:shd w:val="clear" w:color="auto" w:fill="E1DFDD"/>
    </w:rPr>
  </w:style>
  <w:style w:type="paragraph" w:styleId="Header">
    <w:name w:val="header"/>
    <w:basedOn w:val="Normal"/>
    <w:link w:val="HeaderChar"/>
    <w:uiPriority w:val="99"/>
    <w:unhideWhenUsed/>
    <w:rsid w:val="006203C3"/>
    <w:pPr>
      <w:tabs>
        <w:tab w:val="center" w:pos="4153"/>
        <w:tab w:val="right" w:pos="8306"/>
      </w:tabs>
    </w:pPr>
  </w:style>
  <w:style w:type="character" w:customStyle="1" w:styleId="HeaderChar">
    <w:name w:val="Header Char"/>
    <w:basedOn w:val="DefaultParagraphFont"/>
    <w:link w:val="Header"/>
    <w:uiPriority w:val="99"/>
    <w:rsid w:val="006203C3"/>
  </w:style>
  <w:style w:type="paragraph" w:styleId="Footer">
    <w:name w:val="footer"/>
    <w:basedOn w:val="Normal"/>
    <w:link w:val="FooterChar"/>
    <w:uiPriority w:val="99"/>
    <w:unhideWhenUsed/>
    <w:rsid w:val="006203C3"/>
    <w:pPr>
      <w:tabs>
        <w:tab w:val="center" w:pos="4153"/>
        <w:tab w:val="right" w:pos="8306"/>
      </w:tabs>
    </w:pPr>
  </w:style>
  <w:style w:type="character" w:customStyle="1" w:styleId="FooterChar">
    <w:name w:val="Footer Char"/>
    <w:basedOn w:val="DefaultParagraphFont"/>
    <w:link w:val="Footer"/>
    <w:uiPriority w:val="99"/>
    <w:rsid w:val="0062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X/amjsms.20XX.XXXXX" TargetMode="External"/><Relationship Id="rId13" Type="http://schemas.openxmlformats.org/officeDocument/2006/relationships/hyperlink" Target="https://doi.org/10.1519/JSC.00000000000007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doi.org/10.1519/JSC.0b013e3181b1f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doi.org/10.2165/00007256-200535060-00004" TargetMode="External"/><Relationship Id="rId10" Type="http://schemas.openxmlformats.org/officeDocument/2006/relationships/hyperlink" Target="mailto:s.ibrahim@uobaghdad.edu.iq" TargetMode="External"/><Relationship Id="rId4" Type="http://schemas.openxmlformats.org/officeDocument/2006/relationships/webSettings" Target="webSettings.xml"/><Relationship Id="rId9" Type="http://schemas.openxmlformats.org/officeDocument/2006/relationships/hyperlink" Target="https://amj-sms.com/index.php/amjsms" TargetMode="External"/><Relationship Id="rId14" Type="http://schemas.openxmlformats.org/officeDocument/2006/relationships/hyperlink" Target="https://doi.org/10.1080/0264041050045710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2902</Words>
  <Characters>16545</Characters>
  <Application>Microsoft Office Word</Application>
  <DocSecurity>0</DocSecurity>
  <Lines>137</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UOS-SPORT</dc:creator>
  <cp:lastModifiedBy>Raqeeb Al-Naqeeb</cp:lastModifiedBy>
  <cp:revision>2</cp:revision>
  <dcterms:created xsi:type="dcterms:W3CDTF">2026-04-11T09:08:00Z</dcterms:created>
  <dcterms:modified xsi:type="dcterms:W3CDTF">2026-04-11T09:08:00Z</dcterms:modified>
</cp:coreProperties>
</file>